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right"/>
        <w:rPr>
          <w:rFonts w:ascii="黑体" w:hAnsi="黑体" w:eastAsia="黑体" w:cs="黑体"/>
          <w:b/>
          <w:bCs/>
          <w:color w:val="000000" w:themeColor="text1"/>
          <w:sz w:val="52"/>
          <w:szCs w:val="52"/>
        </w:rPr>
      </w:pPr>
    </w:p>
    <w:p>
      <w:pPr>
        <w:spacing w:line="600" w:lineRule="auto"/>
        <w:jc w:val="center"/>
        <w:rPr>
          <w:rFonts w:ascii="黑体" w:hAnsi="黑体" w:eastAsia="黑体" w:cs="黑体"/>
          <w:b/>
          <w:bCs/>
          <w:color w:val="000000" w:themeColor="text1"/>
          <w:sz w:val="48"/>
          <w:szCs w:val="48"/>
        </w:rPr>
      </w:pPr>
      <w:r>
        <w:rPr>
          <w:rFonts w:hint="eastAsia" w:ascii="黑体" w:hAnsi="黑体" w:eastAsia="黑体" w:cs="黑体"/>
          <w:b/>
          <w:bCs/>
          <w:color w:val="000000" w:themeColor="text1"/>
          <w:sz w:val="48"/>
          <w:szCs w:val="48"/>
        </w:rPr>
        <w:t>海南省技师学院</w:t>
      </w:r>
    </w:p>
    <w:p>
      <w:pPr>
        <w:spacing w:line="600" w:lineRule="auto"/>
        <w:jc w:val="center"/>
        <w:rPr>
          <w:rFonts w:ascii="黑体" w:hAnsi="黑体" w:eastAsia="黑体" w:cs="黑体"/>
          <w:b/>
          <w:bCs/>
          <w:color w:val="000000" w:themeColor="text1"/>
          <w:sz w:val="48"/>
          <w:szCs w:val="48"/>
        </w:rPr>
      </w:pPr>
      <w:r>
        <w:rPr>
          <w:rFonts w:hint="eastAsia" w:ascii="黑体" w:hAnsi="黑体" w:eastAsia="黑体" w:cs="黑体"/>
          <w:b/>
          <w:bCs/>
          <w:color w:val="000000" w:themeColor="text1"/>
          <w:sz w:val="48"/>
          <w:szCs w:val="48"/>
        </w:rPr>
        <w:t>智能网联汽车（智能载运技术）设备项目</w:t>
      </w:r>
    </w:p>
    <w:p>
      <w:pPr>
        <w:jc w:val="center"/>
        <w:rPr>
          <w:rFonts w:ascii="黑体" w:hAnsi="黑体" w:eastAsia="黑体" w:cs="黑体"/>
          <w:b/>
          <w:bCs/>
          <w:color w:val="000000" w:themeColor="text1"/>
          <w:sz w:val="44"/>
          <w:szCs w:val="44"/>
        </w:rPr>
      </w:pPr>
    </w:p>
    <w:p>
      <w:pPr>
        <w:jc w:val="center"/>
        <w:rPr>
          <w:rFonts w:ascii="黑体" w:hAnsi="黑体" w:eastAsia="黑体" w:cs="黑体"/>
          <w:b/>
          <w:bCs/>
          <w:color w:val="000000" w:themeColor="text1"/>
          <w:sz w:val="44"/>
          <w:szCs w:val="44"/>
        </w:rPr>
      </w:pPr>
    </w:p>
    <w:p>
      <w:pPr>
        <w:rPr>
          <w:rFonts w:ascii="黑体" w:hAnsi="黑体" w:eastAsia="黑体" w:cs="黑体"/>
          <w:b/>
          <w:bCs/>
          <w:color w:val="000000" w:themeColor="text1"/>
          <w:sz w:val="72"/>
          <w:szCs w:val="72"/>
        </w:rPr>
      </w:pPr>
    </w:p>
    <w:p>
      <w:pPr>
        <w:jc w:val="center"/>
        <w:rPr>
          <w:rFonts w:ascii="黑体" w:hAnsi="黑体" w:eastAsia="黑体" w:cs="黑体"/>
          <w:b/>
          <w:bCs/>
          <w:color w:val="000000" w:themeColor="text1"/>
          <w:sz w:val="72"/>
          <w:szCs w:val="72"/>
        </w:rPr>
      </w:pPr>
      <w:r>
        <w:rPr>
          <w:rFonts w:hint="eastAsia" w:ascii="黑体" w:hAnsi="黑体" w:eastAsia="黑体" w:cs="黑体"/>
          <w:b/>
          <w:bCs/>
          <w:color w:val="000000" w:themeColor="text1"/>
          <w:sz w:val="72"/>
          <w:szCs w:val="72"/>
        </w:rPr>
        <w:t>竞争性谈判文件</w:t>
      </w:r>
    </w:p>
    <w:p>
      <w:pPr>
        <w:jc w:val="center"/>
        <w:rPr>
          <w:rFonts w:ascii="黑体" w:hAnsi="黑体" w:eastAsia="黑体" w:cs="黑体"/>
          <w:b/>
          <w:bCs/>
          <w:color w:val="000000" w:themeColor="text1"/>
          <w:sz w:val="44"/>
          <w:szCs w:val="44"/>
        </w:rPr>
      </w:pPr>
    </w:p>
    <w:p>
      <w:pPr>
        <w:jc w:val="center"/>
        <w:rPr>
          <w:rFonts w:ascii="黑体" w:hAnsi="黑体" w:eastAsia="黑体" w:cs="黑体"/>
          <w:b/>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ind w:firstLine="2400" w:firstLineChars="800"/>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标包编号：HNSJSHWFW-2024-25</w:t>
      </w:r>
    </w:p>
    <w:p>
      <w:pPr>
        <w:ind w:firstLine="2400" w:firstLineChars="800"/>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采购单位：海南省技师学院</w:t>
      </w:r>
    </w:p>
    <w:p>
      <w:pPr>
        <w:rPr>
          <w:rFonts w:ascii="黑体" w:hAnsi="黑体" w:eastAsia="黑体" w:cs="黑体"/>
          <w:bCs/>
          <w:color w:val="FF0000"/>
          <w:sz w:val="30"/>
          <w:szCs w:val="30"/>
        </w:rPr>
      </w:pPr>
    </w:p>
    <w:p>
      <w:pPr>
        <w:jc w:val="center"/>
        <w:rPr>
          <w:rFonts w:ascii="黑体" w:hAnsi="黑体" w:eastAsia="黑体" w:cs="黑体"/>
          <w:bCs/>
          <w:color w:val="000000" w:themeColor="text1"/>
          <w:szCs w:val="21"/>
        </w:rPr>
      </w:pPr>
    </w:p>
    <w:p>
      <w:pPr>
        <w:jc w:val="center"/>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二〇二四年四月</w:t>
      </w:r>
    </w:p>
    <w:p>
      <w:pPr>
        <w:rPr>
          <w:color w:val="000000" w:themeColor="text1"/>
        </w:rPr>
      </w:pPr>
    </w:p>
    <w:p>
      <w:pPr>
        <w:rPr>
          <w:rFonts w:ascii="仿宋_GB2312" w:hAnsi="华文中宋" w:eastAsia="仿宋_GB2312"/>
          <w:b/>
          <w:color w:val="000000" w:themeColor="text1"/>
          <w:sz w:val="48"/>
          <w:szCs w:val="48"/>
        </w:rPr>
      </w:pPr>
      <w:r>
        <w:rPr>
          <w:rFonts w:hint="eastAsia" w:ascii="仿宋_GB2312" w:hAnsi="华文中宋" w:eastAsia="仿宋_GB2312"/>
          <w:b/>
          <w:color w:val="000000" w:themeColor="text1"/>
          <w:sz w:val="48"/>
          <w:szCs w:val="48"/>
        </w:rPr>
        <w:br w:type="page"/>
      </w:r>
    </w:p>
    <w:p>
      <w:pPr>
        <w:spacing w:line="360" w:lineRule="auto"/>
        <w:jc w:val="center"/>
        <w:rPr>
          <w:rFonts w:ascii="仿宋_GB2312" w:hAnsi="华文中宋" w:eastAsia="仿宋_GB2312"/>
          <w:b/>
          <w:color w:val="000000" w:themeColor="text1"/>
          <w:sz w:val="48"/>
          <w:szCs w:val="48"/>
        </w:rPr>
      </w:pPr>
      <w:r>
        <w:rPr>
          <w:rFonts w:hint="eastAsia" w:ascii="仿宋_GB2312" w:hAnsi="华文中宋" w:eastAsia="仿宋_GB2312"/>
          <w:b/>
          <w:color w:val="000000" w:themeColor="text1"/>
          <w:sz w:val="48"/>
          <w:szCs w:val="48"/>
        </w:rPr>
        <w:t>目     录</w:t>
      </w:r>
    </w:p>
    <w:p>
      <w:pPr>
        <w:pStyle w:val="33"/>
        <w:tabs>
          <w:tab w:val="right" w:leader="dot" w:pos="9345"/>
        </w:tabs>
        <w:rPr>
          <w:rFonts w:eastAsiaTheme="minorEastAsia" w:cstheme="minorBidi"/>
          <w:b w:val="0"/>
          <w:bCs w:val="0"/>
          <w:caps w:val="0"/>
          <w:kern w:val="2"/>
          <w:sz w:val="21"/>
          <w:szCs w:val="22"/>
        </w:rPr>
      </w:pPr>
      <w:r>
        <w:rPr>
          <w:rFonts w:ascii="仿宋_GB2312" w:hAnsi="华文中宋" w:eastAsia="仿宋_GB2312"/>
          <w:b w:val="0"/>
          <w:caps w:val="0"/>
          <w:color w:val="000000" w:themeColor="text1"/>
          <w:sz w:val="48"/>
          <w:szCs w:val="48"/>
        </w:rPr>
        <w:fldChar w:fldCharType="begin"/>
      </w:r>
      <w:r>
        <w:rPr>
          <w:rFonts w:ascii="仿宋_GB2312" w:hAnsi="华文中宋" w:eastAsia="仿宋_GB2312"/>
          <w:b w:val="0"/>
          <w:caps w:val="0"/>
          <w:color w:val="000000" w:themeColor="text1"/>
          <w:sz w:val="48"/>
          <w:szCs w:val="48"/>
        </w:rPr>
        <w:instrText xml:space="preserve"> TOC \o "1-2" \h \z \u </w:instrText>
      </w:r>
      <w:r>
        <w:rPr>
          <w:rFonts w:ascii="仿宋_GB2312" w:hAnsi="华文中宋" w:eastAsia="仿宋_GB2312"/>
          <w:b w:val="0"/>
          <w:caps w:val="0"/>
          <w:color w:val="000000" w:themeColor="text1"/>
          <w:sz w:val="48"/>
          <w:szCs w:val="48"/>
        </w:rPr>
        <w:fldChar w:fldCharType="separate"/>
      </w:r>
      <w:r>
        <w:fldChar w:fldCharType="begin"/>
      </w:r>
      <w:r>
        <w:instrText xml:space="preserve"> HYPERLINK \l "_Toc116920188" </w:instrText>
      </w:r>
      <w:r>
        <w:fldChar w:fldCharType="separate"/>
      </w:r>
      <w:r>
        <w:rPr>
          <w:rStyle w:val="53"/>
          <w:rFonts w:hint="eastAsia"/>
        </w:rPr>
        <w:t>第一章竞争性谈判公告</w:t>
      </w:r>
      <w:r>
        <w:tab/>
      </w:r>
      <w:r>
        <w:fldChar w:fldCharType="begin"/>
      </w:r>
      <w:r>
        <w:instrText xml:space="preserve"> PAGEREF _Toc116920188 \h </w:instrText>
      </w:r>
      <w:r>
        <w:fldChar w:fldCharType="separate"/>
      </w:r>
      <w:r>
        <w:t>2</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"_Toc116920189" </w:instrText>
      </w:r>
      <w:r>
        <w:fldChar w:fldCharType="separate"/>
      </w:r>
      <w:r>
        <w:rPr>
          <w:rStyle w:val="53"/>
          <w:rFonts w:hint="eastAsia"/>
        </w:rPr>
        <w:t>第二章供应商须知</w:t>
      </w:r>
      <w:r>
        <w:tab/>
      </w:r>
      <w:r>
        <w:fldChar w:fldCharType="begin"/>
      </w:r>
      <w:r>
        <w:instrText xml:space="preserve"> PAGEREF _Toc116920189 \h </w:instrText>
      </w:r>
      <w:r>
        <w:fldChar w:fldCharType="separate"/>
      </w:r>
      <w:r>
        <w:t>4</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"_Toc116920190" </w:instrText>
      </w:r>
      <w:r>
        <w:fldChar w:fldCharType="separate"/>
      </w:r>
      <w:r>
        <w:rPr>
          <w:rStyle w:val="53"/>
          <w:rFonts w:hint="eastAsia"/>
        </w:rPr>
        <w:t>一、总则</w:t>
      </w:r>
      <w:r>
        <w:tab/>
      </w:r>
      <w:r>
        <w:fldChar w:fldCharType="begin"/>
      </w:r>
      <w:r>
        <w:instrText xml:space="preserve"> PAGEREF _Toc116920190 \h </w:instrText>
      </w:r>
      <w:r>
        <w:fldChar w:fldCharType="separate"/>
      </w:r>
      <w:r>
        <w:t>4</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"_Toc116920191" </w:instrText>
      </w:r>
      <w:r>
        <w:fldChar w:fldCharType="separate"/>
      </w:r>
      <w:r>
        <w:rPr>
          <w:rStyle w:val="53"/>
          <w:rFonts w:hint="eastAsia"/>
        </w:rPr>
        <w:t>二、谈判文件</w:t>
      </w:r>
      <w:r>
        <w:tab/>
      </w:r>
      <w:r>
        <w:fldChar w:fldCharType="begin"/>
      </w:r>
      <w:r>
        <w:instrText xml:space="preserve"> PAGEREF _Toc116920191 \h </w:instrText>
      </w:r>
      <w:r>
        <w:fldChar w:fldCharType="separate"/>
      </w:r>
      <w:r>
        <w:t>4</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"_Toc116920192" </w:instrText>
      </w:r>
      <w:r>
        <w:fldChar w:fldCharType="separate"/>
      </w:r>
      <w:r>
        <w:rPr>
          <w:rStyle w:val="53"/>
          <w:rFonts w:hint="eastAsia"/>
        </w:rPr>
        <w:t>三、响应文件</w:t>
      </w:r>
      <w:r>
        <w:tab/>
      </w:r>
      <w:r>
        <w:fldChar w:fldCharType="begin"/>
      </w:r>
      <w:r>
        <w:instrText xml:space="preserve"> PAGEREF _Toc116920192 \h </w:instrText>
      </w:r>
      <w:r>
        <w:fldChar w:fldCharType="separate"/>
      </w:r>
      <w:r>
        <w:t>6</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"_Toc116920193" </w:instrText>
      </w:r>
      <w:r>
        <w:fldChar w:fldCharType="separate"/>
      </w:r>
      <w:r>
        <w:rPr>
          <w:rStyle w:val="53"/>
          <w:rFonts w:hint="eastAsia"/>
        </w:rPr>
        <w:t>四、响应文件的递交</w:t>
      </w:r>
      <w:r>
        <w:tab/>
      </w:r>
      <w:r>
        <w:fldChar w:fldCharType="begin"/>
      </w:r>
      <w:r>
        <w:instrText xml:space="preserve"> PAGEREF _Toc116920193 \h </w:instrText>
      </w:r>
      <w:r>
        <w:fldChar w:fldCharType="separate"/>
      </w:r>
      <w:r>
        <w:t>8</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"_Toc116920194" </w:instrText>
      </w:r>
      <w:r>
        <w:fldChar w:fldCharType="separate"/>
      </w:r>
      <w:r>
        <w:rPr>
          <w:rStyle w:val="53"/>
          <w:rFonts w:hint="eastAsia"/>
        </w:rPr>
        <w:t>五、响应及谈判</w:t>
      </w:r>
      <w:r>
        <w:tab/>
      </w:r>
      <w:r>
        <w:fldChar w:fldCharType="begin"/>
      </w:r>
      <w:r>
        <w:instrText xml:space="preserve"> PAGEREF _Toc116920194 \h </w:instrText>
      </w:r>
      <w:r>
        <w:fldChar w:fldCharType="separate"/>
      </w:r>
      <w:r>
        <w:t>9</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"_Toc116920195" </w:instrText>
      </w:r>
      <w:r>
        <w:fldChar w:fldCharType="separate"/>
      </w:r>
      <w:r>
        <w:rPr>
          <w:rStyle w:val="53"/>
          <w:rFonts w:hint="eastAsia"/>
        </w:rPr>
        <w:t>六、成交供应商及签约</w:t>
      </w:r>
      <w:r>
        <w:tab/>
      </w:r>
      <w:r>
        <w:fldChar w:fldCharType="begin"/>
      </w:r>
      <w:r>
        <w:instrText xml:space="preserve"> PAGEREF _Toc116920195 \h </w:instrText>
      </w:r>
      <w:r>
        <w:fldChar w:fldCharType="separate"/>
      </w:r>
      <w:r>
        <w:t>11</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"_Toc116920196" </w:instrText>
      </w:r>
      <w:r>
        <w:fldChar w:fldCharType="separate"/>
      </w:r>
      <w:r>
        <w:rPr>
          <w:rStyle w:val="53"/>
          <w:rFonts w:hint="eastAsia"/>
        </w:rPr>
        <w:t>第三章用户需求书</w:t>
      </w:r>
      <w:r>
        <w:tab/>
      </w:r>
      <w:r>
        <w:fldChar w:fldCharType="begin"/>
      </w:r>
      <w:r>
        <w:instrText xml:space="preserve"> PAGEREF _Toc116920196 \h </w:instrText>
      </w:r>
      <w:r>
        <w:fldChar w:fldCharType="separate"/>
      </w:r>
      <w:r>
        <w:t>13</w:t>
      </w:r>
      <w:r>
        <w:fldChar w:fldCharType="end"/>
      </w:r>
      <w:r>
        <w:fldChar w:fldCharType="end"/>
      </w:r>
    </w:p>
    <w:p>
      <w:pPr>
        <w:pStyle w:val="38"/>
        <w:tabs>
          <w:tab w:val="right" w:leader="dot" w:pos="9345"/>
        </w:tabs>
        <w:rPr>
          <w:rFonts w:eastAsiaTheme="minorEastAsia" w:cstheme="minorBidi"/>
          <w:smallCaps w:val="0"/>
          <w:kern w:val="2"/>
          <w:sz w:val="21"/>
          <w:szCs w:val="22"/>
        </w:rPr>
      </w:pPr>
      <w:r>
        <w:fldChar w:fldCharType="begin"/>
      </w:r>
      <w:r>
        <w:instrText xml:space="preserve"> HYPERLINK \l "_Toc116920197" </w:instrText>
      </w:r>
      <w:r>
        <w:fldChar w:fldCharType="separate"/>
      </w:r>
      <w:r>
        <w:rPr>
          <w:rStyle w:val="53"/>
          <w:rFonts w:hint="eastAsia" w:asciiTheme="minorEastAsia" w:hAnsiTheme="minorEastAsia"/>
          <w:b/>
        </w:rPr>
        <w:t>一、项目概况</w:t>
      </w:r>
      <w:r>
        <w:tab/>
      </w:r>
      <w:r>
        <w:fldChar w:fldCharType="begin"/>
      </w:r>
      <w:r>
        <w:instrText xml:space="preserve"> PAGEREF _Toc116920197 \h </w:instrText>
      </w:r>
      <w:r>
        <w:fldChar w:fldCharType="separate"/>
      </w:r>
      <w:r>
        <w:t>13</w:t>
      </w:r>
      <w:r>
        <w:fldChar w:fldCharType="end"/>
      </w:r>
      <w:r>
        <w:fldChar w:fldCharType="end"/>
      </w:r>
    </w:p>
    <w:p>
      <w:pPr>
        <w:pStyle w:val="38"/>
        <w:tabs>
          <w:tab w:val="right" w:leader="dot" w:pos="9345"/>
        </w:tabs>
        <w:rPr>
          <w:rFonts w:eastAsiaTheme="minorEastAsia" w:cstheme="minorBidi"/>
          <w:smallCaps w:val="0"/>
          <w:kern w:val="2"/>
          <w:sz w:val="21"/>
          <w:szCs w:val="22"/>
        </w:rPr>
      </w:pPr>
      <w:r>
        <w:fldChar w:fldCharType="begin"/>
      </w:r>
      <w:r>
        <w:instrText xml:space="preserve"> HYPERLINK \l "_Toc116920198" </w:instrText>
      </w:r>
      <w:r>
        <w:fldChar w:fldCharType="separate"/>
      </w:r>
      <w:r>
        <w:rPr>
          <w:rStyle w:val="53"/>
          <w:rFonts w:hint="eastAsia" w:asciiTheme="minorEastAsia" w:hAnsiTheme="minorEastAsia"/>
          <w:b/>
        </w:rPr>
        <w:t>二、采购清单</w:t>
      </w:r>
      <w:r>
        <w:tab/>
      </w:r>
      <w:r>
        <w:fldChar w:fldCharType="begin"/>
      </w:r>
      <w:r>
        <w:instrText xml:space="preserve"> PAGEREF _Toc116920198 \h </w:instrText>
      </w:r>
      <w:r>
        <w:fldChar w:fldCharType="separate"/>
      </w:r>
      <w:r>
        <w:t>13</w:t>
      </w:r>
      <w:r>
        <w:fldChar w:fldCharType="end"/>
      </w:r>
      <w:r>
        <w:fldChar w:fldCharType="end"/>
      </w:r>
    </w:p>
    <w:p>
      <w:pPr>
        <w:pStyle w:val="38"/>
        <w:tabs>
          <w:tab w:val="right" w:leader="dot" w:pos="9345"/>
        </w:tabs>
        <w:rPr>
          <w:rFonts w:eastAsiaTheme="minorEastAsia" w:cstheme="minorBidi"/>
          <w:smallCaps w:val="0"/>
          <w:kern w:val="2"/>
          <w:sz w:val="21"/>
          <w:szCs w:val="22"/>
        </w:rPr>
      </w:pPr>
      <w:r>
        <w:fldChar w:fldCharType="begin"/>
      </w:r>
      <w:r>
        <w:instrText xml:space="preserve"> HYPERLINK \l "_Toc116920199" </w:instrText>
      </w:r>
      <w:r>
        <w:fldChar w:fldCharType="separate"/>
      </w:r>
      <w:r>
        <w:rPr>
          <w:rStyle w:val="53"/>
          <w:rFonts w:hint="eastAsia" w:asciiTheme="minorEastAsia" w:hAnsiTheme="minorEastAsia"/>
          <w:b/>
        </w:rPr>
        <w:t>三、特别说明</w:t>
      </w:r>
      <w:r>
        <w:tab/>
      </w:r>
      <w:r>
        <w:fldChar w:fldCharType="begin"/>
      </w:r>
      <w:r>
        <w:instrText xml:space="preserve"> PAGEREF _Toc116920199 \h </w:instrText>
      </w:r>
      <w:r>
        <w:fldChar w:fldCharType="separate"/>
      </w:r>
      <w:r>
        <w:t>13</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"_Toc116920200" </w:instrText>
      </w:r>
      <w:r>
        <w:fldChar w:fldCharType="separate"/>
      </w:r>
      <w:r>
        <w:rPr>
          <w:rStyle w:val="53"/>
          <w:rFonts w:hint="eastAsia"/>
        </w:rPr>
        <w:t>第四章合同条款</w:t>
      </w:r>
      <w:r>
        <w:tab/>
      </w:r>
      <w:r>
        <w:fldChar w:fldCharType="begin"/>
      </w:r>
      <w:r>
        <w:instrText xml:space="preserve"> PAGEREF _Toc116920200 \h </w:instrText>
      </w:r>
      <w:r>
        <w:fldChar w:fldCharType="separate"/>
      </w:r>
      <w:r>
        <w:t>16</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"_Toc116920201" </w:instrText>
      </w:r>
      <w:r>
        <w:fldChar w:fldCharType="separate"/>
      </w:r>
      <w:r>
        <w:rPr>
          <w:rStyle w:val="53"/>
          <w:rFonts w:hint="eastAsia"/>
        </w:rPr>
        <w:t>第五章响应文件格式</w:t>
      </w:r>
      <w:r>
        <w:tab/>
      </w:r>
      <w:r>
        <w:fldChar w:fldCharType="begin"/>
      </w:r>
      <w:r>
        <w:instrText xml:space="preserve"> PAGEREF _Toc116920201 \h </w:instrText>
      </w:r>
      <w:r>
        <w:fldChar w:fldCharType="separate"/>
      </w:r>
      <w:r>
        <w:t>17</w:t>
      </w:r>
      <w:r>
        <w:fldChar w:fldCharType="end"/>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"_Toc116920202" </w:instrText>
      </w:r>
      <w:r>
        <w:fldChar w:fldCharType="separate"/>
      </w:r>
      <w:r>
        <w:rPr>
          <w:rStyle w:val="53"/>
          <w:rFonts w:hint="eastAsia"/>
        </w:rPr>
        <w:t>一、响应函</w:t>
      </w:r>
      <w:r>
        <w:tab/>
      </w:r>
      <w:r>
        <w:fldChar w:fldCharType="begin"/>
      </w:r>
      <w:r>
        <w:instrText xml:space="preserve"> PAGEREF _Toc116920202 \h </w:instrText>
      </w:r>
      <w:r>
        <w:fldChar w:fldCharType="separate"/>
      </w:r>
      <w:r>
        <w:t>19</w:t>
      </w:r>
      <w:r>
        <w:fldChar w:fldCharType="end"/>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"_Toc116920203" </w:instrText>
      </w:r>
      <w:r>
        <w:fldChar w:fldCharType="separate"/>
      </w:r>
      <w:r>
        <w:rPr>
          <w:rStyle w:val="53"/>
          <w:rFonts w:hint="eastAsia"/>
        </w:rPr>
        <w:t>二、报价一览表</w:t>
      </w:r>
      <w:r>
        <w:tab/>
      </w:r>
      <w:r>
        <w:fldChar w:fldCharType="begin"/>
      </w:r>
      <w:r>
        <w:instrText xml:space="preserve"> PAGEREF _Toc116920203 \h </w:instrText>
      </w:r>
      <w:r>
        <w:fldChar w:fldCharType="separate"/>
      </w:r>
      <w:r>
        <w:t>20</w:t>
      </w:r>
      <w:r>
        <w:fldChar w:fldCharType="end"/>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"_Toc116920204" </w:instrText>
      </w:r>
      <w:r>
        <w:fldChar w:fldCharType="separate"/>
      </w:r>
      <w:r>
        <w:rPr>
          <w:rStyle w:val="53"/>
          <w:rFonts w:hint="eastAsia"/>
        </w:rPr>
        <w:t>三、授权委托书</w:t>
      </w:r>
      <w:r>
        <w:tab/>
      </w:r>
      <w:r>
        <w:fldChar w:fldCharType="begin"/>
      </w:r>
      <w:r>
        <w:instrText xml:space="preserve"> PAGEREF _Toc116920204 \h </w:instrText>
      </w:r>
      <w:r>
        <w:fldChar w:fldCharType="separate"/>
      </w:r>
      <w:r>
        <w:t>21</w:t>
      </w:r>
      <w:r>
        <w:fldChar w:fldCharType="end"/>
      </w:r>
      <w:r>
        <w:fldChar w:fldCharType="end"/>
      </w:r>
    </w:p>
    <w:p>
      <w:pPr>
        <w:pStyle w:val="33"/>
        <w:tabs>
          <w:tab w:val="right" w:leader="dot" w:pos="9345"/>
        </w:tabs>
        <w:ind w:firstLine="201" w:firstLineChars="100"/>
        <w:rPr>
          <w:rFonts w:cstheme="minorBidi"/>
          <w:b w:val="0"/>
          <w:bCs w:val="0"/>
          <w:caps w:val="0"/>
          <w:kern w:val="2"/>
          <w:sz w:val="21"/>
          <w:szCs w:val="22"/>
        </w:rPr>
      </w:pPr>
      <w:r>
        <w:fldChar w:fldCharType="begin"/>
      </w:r>
      <w:r>
        <w:instrText xml:space="preserve"> HYPERLINK \l "_Toc116920205" </w:instrText>
      </w:r>
      <w:r>
        <w:fldChar w:fldCharType="separate"/>
      </w:r>
      <w:r>
        <w:rPr>
          <w:rStyle w:val="53"/>
          <w:rFonts w:hint="eastAsia"/>
        </w:rPr>
        <w:t>四、响应保证金</w:t>
      </w:r>
      <w:r>
        <w:tab/>
      </w:r>
      <w:r>
        <w:rPr>
          <w:rFonts w:hint="eastAsia"/>
        </w:rPr>
        <w:t>2</w:t>
      </w:r>
      <w:r>
        <w:rPr>
          <w:rFonts w:hint="eastAsia"/>
        </w:rPr>
        <w:fldChar w:fldCharType="end"/>
      </w:r>
      <w:r>
        <w:rPr>
          <w:rFonts w:hint="eastAsia"/>
        </w:rPr>
        <w:t>2</w:t>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"_Toc116920206" </w:instrText>
      </w:r>
      <w:r>
        <w:fldChar w:fldCharType="separate"/>
      </w:r>
      <w:r>
        <w:rPr>
          <w:rStyle w:val="53"/>
          <w:rFonts w:hint="eastAsia"/>
        </w:rPr>
        <w:t>五、供应商的基本情况表</w:t>
      </w:r>
      <w:r>
        <w:tab/>
      </w:r>
      <w:r>
        <w:fldChar w:fldCharType="begin"/>
      </w:r>
      <w:r>
        <w:instrText xml:space="preserve"> PAGEREF _Toc116920206 \h </w:instrText>
      </w:r>
      <w:r>
        <w:fldChar w:fldCharType="separate"/>
      </w:r>
      <w:r>
        <w:t>23</w:t>
      </w:r>
      <w:r>
        <w:fldChar w:fldCharType="end"/>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"_Toc116920207" </w:instrText>
      </w:r>
      <w:r>
        <w:fldChar w:fldCharType="separate"/>
      </w:r>
      <w:r>
        <w:rPr>
          <w:rStyle w:val="53"/>
          <w:rFonts w:hint="eastAsia"/>
        </w:rPr>
        <w:t>六、中小企业声明函</w:t>
      </w:r>
      <w:r>
        <w:tab/>
      </w:r>
      <w:r>
        <w:fldChar w:fldCharType="begin"/>
      </w:r>
      <w:r>
        <w:instrText xml:space="preserve"> PAGEREF _Toc116920207 \h </w:instrText>
      </w:r>
      <w:r>
        <w:fldChar w:fldCharType="separate"/>
      </w:r>
      <w:r>
        <w:t>24</w:t>
      </w:r>
      <w:r>
        <w:fldChar w:fldCharType="end"/>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"_Toc116920208" </w:instrText>
      </w:r>
      <w:r>
        <w:fldChar w:fldCharType="separate"/>
      </w:r>
      <w:r>
        <w:rPr>
          <w:rStyle w:val="53"/>
          <w:rFonts w:hint="eastAsia"/>
        </w:rPr>
        <w:t>七、其他资料</w:t>
      </w:r>
      <w:r>
        <w:tab/>
      </w:r>
      <w:r>
        <w:fldChar w:fldCharType="begin"/>
      </w:r>
      <w:r>
        <w:instrText xml:space="preserve"> PAGEREF _Toc116920208 \h </w:instrText>
      </w:r>
      <w:r>
        <w:fldChar w:fldCharType="separate"/>
      </w:r>
      <w:r>
        <w:t>25</w:t>
      </w:r>
      <w:r>
        <w:fldChar w:fldCharType="end"/>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"_Toc116920209" </w:instrText>
      </w:r>
      <w:r>
        <w:fldChar w:fldCharType="separate"/>
      </w:r>
      <w:r>
        <w:rPr>
          <w:rStyle w:val="53"/>
          <w:rFonts w:hint="eastAsia"/>
        </w:rPr>
        <w:t>八、用户需求响应情况表</w:t>
      </w:r>
      <w:r>
        <w:tab/>
      </w:r>
      <w:r>
        <w:fldChar w:fldCharType="begin"/>
      </w:r>
      <w:r>
        <w:instrText xml:space="preserve"> PAGEREF _Toc116920209 \h </w:instrText>
      </w:r>
      <w:r>
        <w:fldChar w:fldCharType="separate"/>
      </w:r>
      <w:r>
        <w:t>33</w:t>
      </w:r>
      <w:r>
        <w:fldChar w:fldCharType="end"/>
      </w:r>
      <w:r>
        <w:fldChar w:fldCharType="end"/>
      </w:r>
    </w:p>
    <w:p>
      <w:pPr>
        <w:pStyle w:val="33"/>
        <w:tabs>
          <w:tab w:val="right" w:leader="dot" w:pos="9345"/>
        </w:tabs>
        <w:ind w:firstLine="201" w:firstLineChars="100"/>
        <w:rPr>
          <w:rFonts w:cstheme="minorBidi"/>
          <w:b w:val="0"/>
          <w:bCs w:val="0"/>
          <w:caps w:val="0"/>
          <w:kern w:val="2"/>
          <w:sz w:val="21"/>
          <w:szCs w:val="22"/>
        </w:rPr>
      </w:pPr>
      <w:r>
        <w:fldChar w:fldCharType="begin"/>
      </w:r>
      <w:r>
        <w:instrText xml:space="preserve"> HYPERLINK \l "_Toc116920210" </w:instrText>
      </w:r>
      <w:r>
        <w:fldChar w:fldCharType="separate"/>
      </w:r>
      <w:r>
        <w:rPr>
          <w:rStyle w:val="53"/>
          <w:rFonts w:hint="eastAsia"/>
        </w:rPr>
        <w:t>九、承诺函</w:t>
      </w:r>
      <w:r>
        <w:tab/>
      </w:r>
      <w:r>
        <w:rPr>
          <w:rFonts w:hint="eastAsia"/>
        </w:rPr>
        <w:t>3</w:t>
      </w:r>
      <w:r>
        <w:rPr>
          <w:rFonts w:hint="eastAsia"/>
        </w:rPr>
        <w:fldChar w:fldCharType="end"/>
      </w:r>
      <w:r>
        <w:rPr>
          <w:rFonts w:hint="eastAsia"/>
        </w:rPr>
        <w:t>7</w:t>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"_Toc116920211" </w:instrText>
      </w:r>
      <w:r>
        <w:fldChar w:fldCharType="separate"/>
      </w:r>
      <w:r>
        <w:rPr>
          <w:rStyle w:val="53"/>
          <w:rFonts w:hint="eastAsia"/>
        </w:rPr>
        <w:t>第六章评审办法</w:t>
      </w:r>
      <w:r>
        <w:tab/>
      </w:r>
      <w:r>
        <w:fldChar w:fldCharType="begin"/>
      </w:r>
      <w:r>
        <w:instrText xml:space="preserve"> PAGEREF _Toc116920211 \h </w:instrText>
      </w:r>
      <w:r>
        <w:fldChar w:fldCharType="separate"/>
      </w:r>
      <w:r>
        <w:t>38</w:t>
      </w:r>
      <w:r>
        <w:fldChar w:fldCharType="end"/>
      </w:r>
      <w:r>
        <w:fldChar w:fldCharType="end"/>
      </w:r>
    </w:p>
    <w:p>
      <w:pPr>
        <w:pStyle w:val="38"/>
        <w:tabs>
          <w:tab w:val="right" w:leader="dot" w:pos="9345"/>
        </w:tabs>
        <w:rPr>
          <w:rFonts w:eastAsiaTheme="minorEastAsia" w:cstheme="minorBidi"/>
          <w:smallCaps w:val="0"/>
          <w:kern w:val="2"/>
          <w:sz w:val="21"/>
          <w:szCs w:val="22"/>
        </w:rPr>
      </w:pPr>
      <w:r>
        <w:fldChar w:fldCharType="begin"/>
      </w:r>
      <w:r>
        <w:instrText xml:space="preserve"> HYPERLINK \l "_Toc116920212" </w:instrText>
      </w:r>
      <w:r>
        <w:fldChar w:fldCharType="separate"/>
      </w:r>
      <w:r>
        <w:rPr>
          <w:rStyle w:val="53"/>
          <w:rFonts w:hint="eastAsia"/>
          <w:b/>
        </w:rPr>
        <w:t>资格审查表</w:t>
      </w:r>
      <w:r>
        <w:tab/>
      </w:r>
      <w:r>
        <w:fldChar w:fldCharType="begin"/>
      </w:r>
      <w:r>
        <w:instrText xml:space="preserve"> PAGEREF _Toc116920212 \h </w:instrText>
      </w:r>
      <w:r>
        <w:fldChar w:fldCharType="separate"/>
      </w:r>
      <w:r>
        <w:t>39</w:t>
      </w:r>
      <w:r>
        <w:fldChar w:fldCharType="end"/>
      </w:r>
      <w:r>
        <w:fldChar w:fldCharType="end"/>
      </w:r>
    </w:p>
    <w:p>
      <w:pPr>
        <w:pStyle w:val="38"/>
        <w:tabs>
          <w:tab w:val="right" w:leader="dot" w:pos="9345"/>
        </w:tabs>
        <w:rPr>
          <w:rFonts w:eastAsiaTheme="minorEastAsia" w:cstheme="minorBidi"/>
          <w:smallCaps w:val="0"/>
          <w:kern w:val="2"/>
          <w:sz w:val="21"/>
          <w:szCs w:val="22"/>
        </w:rPr>
      </w:pPr>
      <w:r>
        <w:fldChar w:fldCharType="begin"/>
      </w:r>
      <w:r>
        <w:instrText xml:space="preserve"> HYPERLINK \l "_Toc116920213" </w:instrText>
      </w:r>
      <w:r>
        <w:fldChar w:fldCharType="separate"/>
      </w:r>
      <w:r>
        <w:rPr>
          <w:rStyle w:val="53"/>
          <w:rFonts w:hint="eastAsia" w:ascii="宋体" w:hAnsi="宋体"/>
          <w:b/>
        </w:rPr>
        <w:t>竞争性谈判第二次报价单</w:t>
      </w:r>
      <w:r>
        <w:tab/>
      </w:r>
      <w:r>
        <w:fldChar w:fldCharType="begin"/>
      </w:r>
      <w:r>
        <w:instrText xml:space="preserve"> PAGEREF _Toc116920213 \h </w:instrText>
      </w:r>
      <w:r>
        <w:fldChar w:fldCharType="separate"/>
      </w:r>
      <w:r>
        <w:t>40</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"_Toc116920214" </w:instrText>
      </w:r>
      <w:r>
        <w:fldChar w:fldCharType="separate"/>
      </w:r>
      <w:r>
        <w:rPr>
          <w:rStyle w:val="53"/>
          <w:rFonts w:hint="eastAsia"/>
        </w:rPr>
        <w:t>报价一览表</w:t>
      </w:r>
      <w:r>
        <w:tab/>
      </w:r>
      <w:r>
        <w:fldChar w:fldCharType="begin"/>
      </w:r>
      <w:r>
        <w:instrText xml:space="preserve"> PAGEREF _Toc116920214 \h </w:instrText>
      </w:r>
      <w:r>
        <w:fldChar w:fldCharType="separate"/>
      </w:r>
      <w:r>
        <w:t>40</w:t>
      </w:r>
      <w:r>
        <w:fldChar w:fldCharType="end"/>
      </w:r>
      <w:r>
        <w:fldChar w:fldCharType="end"/>
      </w:r>
    </w:p>
    <w:p>
      <w:pPr>
        <w:spacing w:line="360" w:lineRule="auto"/>
        <w:jc w:val="center"/>
        <w:rPr>
          <w:b/>
          <w:color w:val="000000" w:themeColor="text1"/>
          <w:sz w:val="24"/>
          <w:szCs w:val="24"/>
        </w:rPr>
      </w:pPr>
      <w:r>
        <w:rPr>
          <w:rFonts w:ascii="仿宋_GB2312" w:hAnsi="华文中宋" w:eastAsia="仿宋_GB2312" w:cstheme="minorHAnsi"/>
          <w:b/>
          <w:caps/>
          <w:color w:val="000000" w:themeColor="text1"/>
          <w:sz w:val="48"/>
          <w:szCs w:val="48"/>
        </w:rPr>
        <w:fldChar w:fldCharType="end"/>
      </w:r>
    </w:p>
    <w:p>
      <w:pPr>
        <w:spacing w:line="660" w:lineRule="exact"/>
        <w:rPr>
          <w:b/>
          <w:color w:val="000000" w:themeColor="text1"/>
          <w:sz w:val="24"/>
          <w:szCs w:val="24"/>
        </w:rPr>
      </w:pPr>
    </w:p>
    <w:p>
      <w:pPr>
        <w:spacing w:before="156" w:after="156"/>
        <w:rPr>
          <w:color w:val="000000" w:themeColor="text1"/>
        </w:rPr>
      </w:pPr>
      <w:bookmarkStart w:id="0" w:name="_Toc413606682"/>
      <w:bookmarkStart w:id="1" w:name="_Toc500352173"/>
    </w:p>
    <w:p>
      <w:pPr>
        <w:spacing w:before="156" w:after="156"/>
        <w:jc w:val="center"/>
        <w:outlineLvl w:val="0"/>
        <w:rPr>
          <w:b/>
          <w:color w:val="000000" w:themeColor="text1"/>
          <w:sz w:val="32"/>
          <w:szCs w:val="32"/>
        </w:rPr>
      </w:pPr>
      <w:bookmarkStart w:id="2" w:name="_Toc116920188"/>
      <w:r>
        <w:rPr>
          <w:rFonts w:hint="eastAsia"/>
          <w:b/>
          <w:color w:val="000000" w:themeColor="text1"/>
          <w:sz w:val="32"/>
          <w:szCs w:val="32"/>
        </w:rPr>
        <w:t>第一章</w:t>
      </w:r>
      <w:bookmarkEnd w:id="0"/>
      <w:bookmarkEnd w:id="1"/>
      <w:r>
        <w:rPr>
          <w:rFonts w:hint="eastAsia"/>
          <w:b/>
          <w:color w:val="000000" w:themeColor="text1"/>
          <w:sz w:val="32"/>
          <w:szCs w:val="32"/>
        </w:rPr>
        <w:t xml:space="preserve"> 校内采购公告</w:t>
      </w:r>
      <w:bookmarkEnd w:id="2"/>
    </w:p>
    <w:p>
      <w:pPr>
        <w:rPr>
          <w:color w:val="000000" w:themeColor="text1"/>
        </w:rPr>
      </w:pPr>
    </w:p>
    <w:p>
      <w:pPr>
        <w:spacing w:line="360" w:lineRule="auto"/>
        <w:ind w:right="-61" w:rightChars="-29" w:firstLine="480" w:firstLineChars="200"/>
        <w:rPr>
          <w:rFonts w:ascii="宋体" w:hAnsi="宋体" w:cs="宋体"/>
          <w:color w:val="000000" w:themeColor="text1"/>
          <w:sz w:val="24"/>
          <w:szCs w:val="24"/>
          <w:lang w:val="zh-TW"/>
        </w:rPr>
      </w:pPr>
      <w:bookmarkStart w:id="3" w:name="_Toc238907000"/>
      <w:bookmarkStart w:id="4" w:name="_Toc500352174"/>
      <w:bookmarkStart w:id="5" w:name="_Toc413606683"/>
      <w:r>
        <w:rPr>
          <w:rFonts w:hint="eastAsia" w:ascii="宋体" w:hAnsi="宋体" w:cs="宋体"/>
          <w:color w:val="000000" w:themeColor="text1"/>
          <w:sz w:val="24"/>
          <w:szCs w:val="24"/>
        </w:rPr>
        <w:t>我院</w:t>
      </w:r>
      <w:r>
        <w:rPr>
          <w:rFonts w:hint="eastAsia" w:ascii="宋体" w:hAnsi="宋体" w:cs="宋体"/>
          <w:color w:val="000000" w:themeColor="text1"/>
          <w:sz w:val="24"/>
          <w:szCs w:val="24"/>
          <w:lang w:val="zh-TW"/>
        </w:rPr>
        <w:t>智能网联汽车（智能载运技术）设备项目</w:t>
      </w:r>
      <w:r>
        <w:rPr>
          <w:rFonts w:hint="eastAsia" w:ascii="宋体" w:hAnsi="宋体" w:cs="宋体"/>
          <w:color w:val="000000" w:themeColor="text1"/>
          <w:sz w:val="24"/>
          <w:szCs w:val="24"/>
        </w:rPr>
        <w:t>组织</w:t>
      </w:r>
      <w:r>
        <w:rPr>
          <w:rFonts w:hint="eastAsia" w:ascii="宋体" w:hAnsi="宋体" w:cs="宋体"/>
          <w:color w:val="000000" w:themeColor="text1"/>
          <w:sz w:val="24"/>
          <w:szCs w:val="24"/>
          <w:lang w:val="zh-TW"/>
        </w:rPr>
        <w:t>校内</w:t>
      </w:r>
      <w:r>
        <w:rPr>
          <w:rFonts w:ascii="宋体" w:hAnsi="宋体" w:cs="宋体"/>
          <w:color w:val="000000" w:themeColor="text1"/>
          <w:sz w:val="24"/>
          <w:szCs w:val="24"/>
          <w:lang w:val="zh-TW"/>
        </w:rPr>
        <w:t>竞争性</w:t>
      </w:r>
      <w:r>
        <w:rPr>
          <w:rFonts w:hint="eastAsia" w:ascii="宋体" w:hAnsi="宋体" w:cs="宋体"/>
          <w:color w:val="000000" w:themeColor="text1"/>
          <w:sz w:val="24"/>
          <w:szCs w:val="24"/>
        </w:rPr>
        <w:t>谈判</w:t>
      </w:r>
      <w:r>
        <w:rPr>
          <w:rFonts w:hint="eastAsia" w:ascii="宋体" w:hAnsi="宋体" w:cs="宋体"/>
          <w:color w:val="000000" w:themeColor="text1"/>
          <w:sz w:val="24"/>
          <w:szCs w:val="24"/>
          <w:lang w:val="zh-TW"/>
        </w:rPr>
        <w:t>采购</w:t>
      </w:r>
      <w:r>
        <w:rPr>
          <w:rFonts w:ascii="宋体" w:hAnsi="宋体" w:cs="宋体"/>
          <w:color w:val="000000" w:themeColor="text1"/>
          <w:sz w:val="24"/>
          <w:szCs w:val="24"/>
          <w:lang w:val="zh-TW"/>
        </w:rPr>
        <w:t>，现邀请国内合格的</w:t>
      </w:r>
      <w:r>
        <w:rPr>
          <w:rFonts w:hint="eastAsia" w:ascii="宋体" w:hAnsi="宋体" w:cs="宋体"/>
          <w:color w:val="000000" w:themeColor="text1"/>
          <w:sz w:val="24"/>
          <w:szCs w:val="24"/>
          <w:lang w:val="zh-TW"/>
        </w:rPr>
        <w:t>响应人（供应商）</w:t>
      </w:r>
      <w:r>
        <w:rPr>
          <w:rFonts w:ascii="宋体" w:hAnsi="宋体" w:cs="宋体"/>
          <w:color w:val="000000" w:themeColor="text1"/>
          <w:sz w:val="24"/>
          <w:szCs w:val="24"/>
          <w:lang w:val="zh-TW"/>
        </w:rPr>
        <w:t>来参加。</w:t>
      </w:r>
    </w:p>
    <w:p>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一、</w:t>
      </w:r>
      <w:r>
        <w:rPr>
          <w:rFonts w:ascii="宋体" w:hAnsi="宋体" w:cs="宋体"/>
          <w:b/>
          <w:bCs/>
          <w:color w:val="000000" w:themeColor="text1"/>
          <w:sz w:val="24"/>
          <w:szCs w:val="24"/>
          <w:lang w:val="zh-TW"/>
        </w:rPr>
        <w:t>项目简介</w:t>
      </w:r>
    </w:p>
    <w:p>
      <w:pPr>
        <w:spacing w:line="360" w:lineRule="auto"/>
        <w:ind w:right="-61" w:rightChars="-29"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2.1、</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hint="eastAsia" w:ascii="宋体" w:hAnsi="宋体" w:cs="宋体"/>
          <w:color w:val="000000" w:themeColor="text1"/>
          <w:sz w:val="24"/>
          <w:szCs w:val="24"/>
          <w:lang w:val="zh-TW"/>
        </w:rPr>
        <w:t>智能网联汽车（智能载运技术）设备项目</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2.2、</w:t>
      </w:r>
      <w:r>
        <w:rPr>
          <w:rFonts w:ascii="宋体" w:hAnsi="宋体" w:cs="宋体"/>
          <w:color w:val="000000" w:themeColor="text1"/>
          <w:sz w:val="24"/>
          <w:szCs w:val="24"/>
        </w:rPr>
        <w:t>项目</w:t>
      </w:r>
      <w:r>
        <w:rPr>
          <w:rFonts w:hint="eastAsia" w:ascii="宋体" w:hAnsi="宋体" w:cs="宋体"/>
          <w:color w:val="000000" w:themeColor="text1"/>
          <w:sz w:val="24"/>
          <w:szCs w:val="24"/>
        </w:rPr>
        <w:t>编号：HNSJSHWFW-2024-25；</w:t>
      </w:r>
    </w:p>
    <w:p>
      <w:pPr>
        <w:spacing w:line="360" w:lineRule="auto"/>
        <w:ind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2.3、</w:t>
      </w:r>
      <w:r>
        <w:rPr>
          <w:rFonts w:ascii="宋体" w:hAnsi="宋体" w:cs="宋体"/>
          <w:color w:val="000000" w:themeColor="text1"/>
          <w:sz w:val="24"/>
          <w:szCs w:val="24"/>
        </w:rPr>
        <w:t>资金来源：</w:t>
      </w:r>
      <w:r>
        <w:rPr>
          <w:rFonts w:hint="eastAsia" w:ascii="宋体" w:hAnsi="宋体" w:cs="宋体"/>
          <w:color w:val="000000" w:themeColor="text1"/>
          <w:sz w:val="24"/>
          <w:szCs w:val="24"/>
        </w:rPr>
        <w:t>2024年就业补助资金</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2.4、</w:t>
      </w:r>
      <w:r>
        <w:rPr>
          <w:rFonts w:ascii="宋体" w:hAnsi="宋体" w:cs="宋体"/>
          <w:color w:val="000000" w:themeColor="text1"/>
          <w:sz w:val="24"/>
          <w:szCs w:val="24"/>
        </w:rPr>
        <w:t>采购预算：</w:t>
      </w:r>
      <w:r>
        <w:rPr>
          <w:rFonts w:hint="eastAsia" w:ascii="宋体" w:hAnsi="宋体" w:cs="宋体"/>
          <w:color w:val="000000" w:themeColor="text1"/>
          <w:sz w:val="24"/>
          <w:szCs w:val="24"/>
        </w:rPr>
        <w:t>41.8万元。</w:t>
      </w:r>
    </w:p>
    <w:p>
      <w:pPr>
        <w:spacing w:line="360" w:lineRule="auto"/>
        <w:ind w:firstLine="480" w:firstLineChars="200"/>
        <w:rPr>
          <w:rFonts w:ascii="宋体" w:hAnsi="宋体" w:cs="宋体"/>
          <w:bCs/>
          <w:color w:val="000000" w:themeColor="text1"/>
          <w:sz w:val="24"/>
          <w:szCs w:val="22"/>
          <w:lang w:val="en-GB"/>
        </w:rPr>
      </w:pPr>
      <w:r>
        <w:rPr>
          <w:rFonts w:ascii="宋体" w:hAnsi="宋体" w:cs="宋体"/>
          <w:color w:val="000000" w:themeColor="text1"/>
          <w:sz w:val="24"/>
          <w:szCs w:val="24"/>
        </w:rPr>
        <w:t>2.5、采购需求：</w:t>
      </w:r>
      <w:r>
        <w:rPr>
          <w:rFonts w:hint="eastAsia" w:ascii="宋体" w:hAnsi="宋体" w:cs="宋体"/>
          <w:color w:val="000000" w:themeColor="text1"/>
          <w:sz w:val="24"/>
          <w:szCs w:val="24"/>
        </w:rPr>
        <w:t>详见谈判文件第三章“用户需求书”</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6</w:t>
      </w:r>
      <w:r>
        <w:rPr>
          <w:rFonts w:ascii="宋体" w:hAnsi="宋体" w:cs="宋体"/>
          <w:color w:val="000000" w:themeColor="text1"/>
          <w:sz w:val="24"/>
          <w:szCs w:val="24"/>
        </w:rPr>
        <w:t>、项目实施地点：</w:t>
      </w:r>
      <w:r>
        <w:rPr>
          <w:rFonts w:hint="eastAsia" w:ascii="宋体" w:hAnsi="宋体" w:cs="宋体"/>
          <w:color w:val="000000" w:themeColor="text1"/>
          <w:sz w:val="24"/>
          <w:szCs w:val="24"/>
        </w:rPr>
        <w:t>采购人指定地点</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7</w:t>
      </w:r>
      <w:r>
        <w:rPr>
          <w:rFonts w:ascii="宋体" w:hAnsi="宋体" w:cs="宋体"/>
          <w:color w:val="000000" w:themeColor="text1"/>
          <w:sz w:val="24"/>
          <w:szCs w:val="24"/>
        </w:rPr>
        <w:t>、</w:t>
      </w:r>
      <w:r>
        <w:rPr>
          <w:rFonts w:hint="eastAsia" w:ascii="宋体" w:hAnsi="宋体" w:cs="宋体"/>
          <w:color w:val="000000" w:themeColor="text1"/>
          <w:sz w:val="24"/>
          <w:szCs w:val="24"/>
        </w:rPr>
        <w:t>交付期限</w:t>
      </w:r>
      <w:r>
        <w:rPr>
          <w:rFonts w:ascii="宋体" w:hAnsi="宋体" w:cs="宋体"/>
          <w:color w:val="000000" w:themeColor="text1"/>
          <w:sz w:val="24"/>
          <w:szCs w:val="24"/>
        </w:rPr>
        <w:t>：</w:t>
      </w:r>
      <w:r>
        <w:rPr>
          <w:rFonts w:hint="eastAsia" w:ascii="宋体" w:hAnsi="宋体" w:cs="宋体"/>
          <w:color w:val="000000" w:themeColor="text1"/>
          <w:sz w:val="24"/>
          <w:szCs w:val="24"/>
          <w:highlight w:val="yellow"/>
        </w:rPr>
        <w:t>30日历天</w:t>
      </w:r>
      <w:r>
        <w:rPr>
          <w:rFonts w:hint="eastAsia" w:ascii="宋体" w:hAnsi="宋体" w:cs="宋体"/>
          <w:color w:val="000000" w:themeColor="text1"/>
          <w:sz w:val="24"/>
          <w:szCs w:val="24"/>
        </w:rPr>
        <w:t>；</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2.8、售后要求：</w:t>
      </w:r>
      <w:r>
        <w:rPr>
          <w:rFonts w:hint="eastAsia" w:ascii="宋体" w:hAnsi="宋体" w:cs="宋体"/>
          <w:color w:val="000000" w:themeColor="text1"/>
          <w:sz w:val="24"/>
          <w:szCs w:val="24"/>
          <w:highlight w:val="yellow"/>
        </w:rPr>
        <w:t>质保两年</w:t>
      </w:r>
      <w:r>
        <w:rPr>
          <w:rFonts w:hint="eastAsia" w:ascii="宋体" w:hAnsi="宋体" w:cs="宋体"/>
          <w:color w:val="000000" w:themeColor="text1"/>
          <w:sz w:val="24"/>
          <w:szCs w:val="24"/>
        </w:rPr>
        <w:t>；</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2.9、</w:t>
      </w:r>
      <w:r>
        <w:rPr>
          <w:rFonts w:ascii="宋体" w:hAnsi="宋体" w:cs="宋体"/>
          <w:color w:val="000000" w:themeColor="text1"/>
          <w:sz w:val="24"/>
          <w:szCs w:val="24"/>
        </w:rPr>
        <w:t>付款方式：按照合同协商方式付款</w:t>
      </w:r>
      <w:r>
        <w:rPr>
          <w:rFonts w:hint="eastAsia" w:ascii="宋体" w:hAnsi="宋体" w:cs="宋体"/>
          <w:color w:val="000000" w:themeColor="text1"/>
          <w:sz w:val="24"/>
          <w:szCs w:val="24"/>
        </w:rPr>
        <w:t>。</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2.10、质量标准：合格。</w:t>
      </w:r>
    </w:p>
    <w:p>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1.满足《中华人民共和国政府采购法》第二十二条规定；</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1.1 在中华人民共和国注册，具有独立承担民事责任能力的法人，提供合法且有效的营业执照副本；</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1.2、响应商具有良好的商业信誉和健全的财务会计制度（会计师事务所出具的202</w:t>
      </w:r>
      <w:r>
        <w:rPr>
          <w:rFonts w:hint="eastAsia" w:ascii="宋体" w:hAnsi="宋体" w:cs="宋体"/>
          <w:color w:val="000000" w:themeColor="text1"/>
          <w:sz w:val="24"/>
          <w:szCs w:val="24"/>
        </w:rPr>
        <w:t>3</w:t>
      </w:r>
      <w:r>
        <w:rPr>
          <w:rFonts w:hint="eastAsia" w:ascii="宋体" w:hAnsi="宋体" w:cs="宋体"/>
          <w:color w:val="000000" w:themeColor="text1"/>
          <w:sz w:val="24"/>
          <w:szCs w:val="24"/>
          <w:lang w:val="zh-TW"/>
        </w:rPr>
        <w:t>年度财务审计报告的复印件或者202</w:t>
      </w:r>
      <w:r>
        <w:rPr>
          <w:rFonts w:hint="eastAsia" w:ascii="宋体" w:hAnsi="宋体" w:cs="宋体"/>
          <w:color w:val="000000" w:themeColor="text1"/>
          <w:sz w:val="24"/>
          <w:szCs w:val="24"/>
        </w:rPr>
        <w:t>3</w:t>
      </w:r>
      <w:r>
        <w:rPr>
          <w:rFonts w:hint="eastAsia" w:ascii="宋体" w:hAnsi="宋体" w:cs="宋体"/>
          <w:color w:val="000000" w:themeColor="text1"/>
          <w:sz w:val="24"/>
          <w:szCs w:val="24"/>
          <w:lang w:val="zh-TW"/>
        </w:rPr>
        <w:t>年01月至今任意3个月的财务报表的复印件。(需包含资产负债表、利润表）；</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1.3、响应商有依法缴纳税收和社会保障资金的良好记录（提供202</w:t>
      </w:r>
      <w:r>
        <w:rPr>
          <w:rFonts w:hint="eastAsia" w:ascii="宋体" w:hAnsi="宋体" w:cs="宋体"/>
          <w:color w:val="000000" w:themeColor="text1"/>
          <w:sz w:val="24"/>
          <w:szCs w:val="24"/>
        </w:rPr>
        <w:t>3</w:t>
      </w:r>
      <w:r>
        <w:rPr>
          <w:rFonts w:hint="eastAsia" w:ascii="宋体" w:hAnsi="宋体" w:cs="宋体"/>
          <w:color w:val="000000" w:themeColor="text1"/>
          <w:sz w:val="24"/>
          <w:szCs w:val="24"/>
          <w:lang w:val="zh-TW"/>
        </w:rPr>
        <w:t>年至今任意一个月的税收证明和社会保障缴费记录）；</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eastAsia="zh-TW"/>
        </w:rPr>
        <w:t>1.4、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w:t>
      </w:r>
      <w:r>
        <w:rPr>
          <w:rFonts w:hint="eastAsia" w:ascii="宋体" w:hAnsi="宋体" w:cs="宋体"/>
          <w:color w:val="000000" w:themeColor="text1"/>
          <w:sz w:val="24"/>
          <w:szCs w:val="24"/>
          <w:lang w:val="zh-TW"/>
        </w:rPr>
        <w:t>（提供查询记录的网页打印件加盖本单位公章）。</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1.5、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2.落实政府采购政策需满足的资格要求：《政府采购促进中小企业发展管理办法》、《关于促进残疾人就业政府采购政策的通知》、《财政部、司法部关于政府采购支持监狱企业发展有关问题的通知》。</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3.本项目的特定资格要求：</w:t>
      </w:r>
      <w:r>
        <w:rPr>
          <w:rFonts w:hint="eastAsia" w:ascii="宋体" w:hAnsi="宋体" w:cs="宋体"/>
          <w:bCs/>
          <w:sz w:val="24"/>
        </w:rPr>
        <w:t>货物参数</w:t>
      </w:r>
      <w:r>
        <w:rPr>
          <w:rFonts w:hint="eastAsia" w:ascii="宋体" w:hAnsi="宋体" w:cs="宋体"/>
          <w:bCs/>
          <w:sz w:val="24"/>
          <w:lang w:val="en-US" w:eastAsia="zh-CN"/>
        </w:rPr>
        <w:t>须</w:t>
      </w:r>
      <w:r>
        <w:rPr>
          <w:rFonts w:hint="eastAsia" w:ascii="宋体" w:hAnsi="宋体" w:cs="宋体"/>
          <w:bCs/>
          <w:sz w:val="24"/>
        </w:rPr>
        <w:t>符合第三届全国新能源汽车关键技术技能大赛竞赛文件的参数要求</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4.本项目不接受联合体响应</w:t>
      </w:r>
    </w:p>
    <w:p>
      <w:pPr>
        <w:spacing w:line="460" w:lineRule="exact"/>
        <w:rPr>
          <w:rFonts w:ascii="宋体" w:hAnsi="宋体"/>
          <w:b/>
          <w:color w:val="000000" w:themeColor="text1"/>
          <w:sz w:val="24"/>
          <w:szCs w:val="24"/>
        </w:rPr>
      </w:pPr>
      <w:r>
        <w:rPr>
          <w:rFonts w:hint="eastAsia" w:ascii="宋体" w:hAnsi="宋体"/>
          <w:b/>
          <w:color w:val="000000" w:themeColor="text1"/>
          <w:sz w:val="24"/>
          <w:szCs w:val="24"/>
        </w:rPr>
        <w:t>三、</w:t>
      </w:r>
      <w:r>
        <w:rPr>
          <w:rFonts w:ascii="宋体" w:hAnsi="宋体"/>
          <w:b/>
          <w:color w:val="000000" w:themeColor="text1"/>
          <w:sz w:val="24"/>
          <w:szCs w:val="24"/>
        </w:rPr>
        <w:t xml:space="preserve"> 谈判文件的获取及</w:t>
      </w:r>
      <w:r>
        <w:rPr>
          <w:rFonts w:hint="eastAsia" w:ascii="宋体" w:hAnsi="宋体"/>
          <w:b/>
          <w:color w:val="000000" w:themeColor="text1"/>
          <w:sz w:val="24"/>
          <w:szCs w:val="24"/>
        </w:rPr>
        <w:t>响应</w:t>
      </w:r>
      <w:r>
        <w:rPr>
          <w:rFonts w:ascii="宋体" w:hAnsi="宋体"/>
          <w:b/>
          <w:color w:val="000000" w:themeColor="text1"/>
          <w:sz w:val="24"/>
          <w:szCs w:val="24"/>
        </w:rPr>
        <w:t>保证金</w:t>
      </w:r>
      <w:bookmarkStart w:id="108" w:name="_GoBack"/>
      <w:bookmarkEnd w:id="108"/>
    </w:p>
    <w:p>
      <w:pPr>
        <w:spacing w:line="360" w:lineRule="auto"/>
        <w:ind w:right="-61" w:rightChars="-29" w:firstLine="424" w:firstLineChars="177"/>
        <w:rPr>
          <w:rFonts w:ascii="宋体" w:hAnsi="宋体"/>
          <w:color w:val="000000" w:themeColor="text1"/>
          <w:sz w:val="24"/>
          <w:szCs w:val="22"/>
        </w:rPr>
      </w:pPr>
      <w:r>
        <w:rPr>
          <w:rFonts w:ascii="宋体" w:hAnsi="宋体"/>
          <w:color w:val="000000" w:themeColor="text1"/>
          <w:sz w:val="24"/>
          <w:szCs w:val="22"/>
        </w:rPr>
        <w:t>4.1、文件</w:t>
      </w:r>
      <w:r>
        <w:rPr>
          <w:rFonts w:hint="eastAsia" w:ascii="宋体" w:hAnsi="宋体"/>
          <w:color w:val="000000" w:themeColor="text1"/>
          <w:sz w:val="24"/>
          <w:szCs w:val="22"/>
        </w:rPr>
        <w:t>获取</w:t>
      </w:r>
      <w:r>
        <w:rPr>
          <w:rFonts w:ascii="宋体" w:hAnsi="宋体"/>
          <w:color w:val="000000" w:themeColor="text1"/>
          <w:sz w:val="24"/>
          <w:szCs w:val="22"/>
        </w:rPr>
        <w:t>截止时间：</w:t>
      </w:r>
      <w:r>
        <w:rPr>
          <w:rFonts w:hint="eastAsia" w:ascii="宋体" w:hAnsi="宋体"/>
          <w:color w:val="000000" w:themeColor="text1"/>
          <w:sz w:val="24"/>
          <w:szCs w:val="22"/>
        </w:rPr>
        <w:t>凡有意参加响应者，请于2024年</w:t>
      </w:r>
      <w:r>
        <w:rPr>
          <w:rFonts w:hint="eastAsia" w:ascii="宋体" w:hAnsi="宋体"/>
          <w:color w:val="000000" w:themeColor="text1"/>
          <w:sz w:val="24"/>
          <w:szCs w:val="22"/>
          <w:lang w:val="en-US" w:eastAsia="zh-CN"/>
        </w:rPr>
        <w:t>4</w:t>
      </w:r>
      <w:r>
        <w:rPr>
          <w:rFonts w:hint="eastAsia" w:ascii="宋体" w:hAnsi="宋体"/>
          <w:color w:val="000000" w:themeColor="text1"/>
          <w:sz w:val="24"/>
          <w:szCs w:val="22"/>
        </w:rPr>
        <w:t>月</w:t>
      </w:r>
      <w:r>
        <w:rPr>
          <w:rFonts w:hint="eastAsia" w:ascii="宋体" w:hAnsi="宋体"/>
          <w:color w:val="000000" w:themeColor="text1"/>
          <w:sz w:val="24"/>
          <w:szCs w:val="22"/>
          <w:lang w:val="en-US" w:eastAsia="zh-CN"/>
        </w:rPr>
        <w:t>18</w:t>
      </w:r>
      <w:r>
        <w:rPr>
          <w:rFonts w:hint="eastAsia" w:ascii="宋体" w:hAnsi="宋体"/>
          <w:color w:val="000000" w:themeColor="text1"/>
          <w:sz w:val="24"/>
          <w:szCs w:val="22"/>
        </w:rPr>
        <w:t>日至2024年</w:t>
      </w:r>
      <w:r>
        <w:rPr>
          <w:rFonts w:hint="eastAsia" w:ascii="宋体" w:hAnsi="宋体"/>
          <w:color w:val="000000" w:themeColor="text1"/>
          <w:sz w:val="24"/>
          <w:szCs w:val="22"/>
          <w:lang w:val="en-US" w:eastAsia="zh-CN"/>
        </w:rPr>
        <w:t>4</w:t>
      </w:r>
      <w:r>
        <w:rPr>
          <w:rFonts w:hint="eastAsia" w:ascii="宋体" w:hAnsi="宋体"/>
          <w:color w:val="000000" w:themeColor="text1"/>
          <w:sz w:val="24"/>
          <w:szCs w:val="22"/>
        </w:rPr>
        <w:t>月</w:t>
      </w:r>
      <w:r>
        <w:rPr>
          <w:rFonts w:hint="eastAsia" w:ascii="宋体" w:hAnsi="宋体"/>
          <w:color w:val="000000" w:themeColor="text1"/>
          <w:sz w:val="24"/>
          <w:szCs w:val="22"/>
          <w:lang w:val="en-US" w:eastAsia="zh-CN"/>
        </w:rPr>
        <w:t>22</w:t>
      </w:r>
      <w:r>
        <w:rPr>
          <w:rFonts w:hint="eastAsia" w:ascii="宋体" w:hAnsi="宋体"/>
          <w:color w:val="000000" w:themeColor="text1"/>
          <w:sz w:val="24"/>
          <w:szCs w:val="22"/>
        </w:rPr>
        <w:t>日下载提交文件。</w:t>
      </w:r>
    </w:p>
    <w:p>
      <w:pPr>
        <w:spacing w:line="360" w:lineRule="auto"/>
        <w:ind w:right="-61" w:rightChars="-29" w:firstLine="424" w:firstLineChars="177"/>
        <w:rPr>
          <w:rFonts w:ascii="宋体" w:hAnsi="宋体"/>
          <w:sz w:val="24"/>
          <w:szCs w:val="22"/>
        </w:rPr>
      </w:pPr>
      <w:r>
        <w:rPr>
          <w:rFonts w:ascii="宋体" w:hAnsi="宋体"/>
          <w:sz w:val="24"/>
          <w:szCs w:val="22"/>
        </w:rPr>
        <w:t>4.2、售价:谈判文件售价</w:t>
      </w:r>
      <w:r>
        <w:rPr>
          <w:rFonts w:ascii="宋体" w:hAnsi="宋体"/>
          <w:bCs/>
          <w:sz w:val="24"/>
          <w:szCs w:val="22"/>
          <w:lang w:val="en-GB"/>
        </w:rPr>
        <w:t>人民币</w:t>
      </w:r>
      <w:r>
        <w:rPr>
          <w:rFonts w:ascii="宋体" w:hAnsi="宋体"/>
          <w:b/>
          <w:sz w:val="24"/>
          <w:szCs w:val="22"/>
          <w:lang w:val="en-GB"/>
        </w:rPr>
        <w:t>￥</w:t>
      </w:r>
      <w:r>
        <w:rPr>
          <w:rFonts w:hint="eastAsia" w:ascii="宋体" w:hAnsi="宋体"/>
          <w:b/>
          <w:sz w:val="24"/>
          <w:szCs w:val="22"/>
        </w:rPr>
        <w:t>0</w:t>
      </w:r>
      <w:r>
        <w:rPr>
          <w:rFonts w:ascii="宋体" w:hAnsi="宋体"/>
          <w:sz w:val="24"/>
          <w:szCs w:val="22"/>
        </w:rPr>
        <w:t>元（</w:t>
      </w:r>
      <w:r>
        <w:rPr>
          <w:rFonts w:hint="eastAsia" w:ascii="宋体" w:hAnsi="宋体"/>
          <w:sz w:val="24"/>
          <w:szCs w:val="22"/>
        </w:rPr>
        <w:t>下载</w:t>
      </w:r>
      <w:r>
        <w:rPr>
          <w:rFonts w:ascii="宋体" w:hAnsi="宋体"/>
          <w:bCs/>
          <w:sz w:val="24"/>
          <w:szCs w:val="22"/>
          <w:lang w:val="en-GB"/>
        </w:rPr>
        <w:t>文件</w:t>
      </w:r>
      <w:r>
        <w:rPr>
          <w:rFonts w:hint="eastAsia" w:ascii="宋体" w:hAnsi="宋体"/>
          <w:bCs/>
          <w:sz w:val="24"/>
          <w:szCs w:val="22"/>
        </w:rPr>
        <w:t>自行准备</w:t>
      </w:r>
      <w:r>
        <w:rPr>
          <w:rFonts w:ascii="宋体" w:hAnsi="宋体"/>
          <w:bCs/>
          <w:sz w:val="24"/>
          <w:szCs w:val="22"/>
          <w:lang w:val="en-GB"/>
        </w:rPr>
        <w:t>）</w:t>
      </w:r>
      <w:r>
        <w:rPr>
          <w:rFonts w:ascii="宋体" w:hAnsi="宋体"/>
          <w:sz w:val="24"/>
          <w:szCs w:val="22"/>
          <w:lang w:val="zh-TW"/>
        </w:rPr>
        <w:t>；</w:t>
      </w:r>
      <w:r>
        <w:rPr>
          <w:rFonts w:hint="eastAsia" w:ascii="宋体" w:hAnsi="宋体"/>
          <w:sz w:val="24"/>
          <w:szCs w:val="22"/>
        </w:rPr>
        <w:t xml:space="preserve"> </w:t>
      </w:r>
    </w:p>
    <w:p>
      <w:pPr>
        <w:spacing w:line="360" w:lineRule="auto"/>
        <w:ind w:right="-61" w:rightChars="-29" w:firstLine="424" w:firstLineChars="177"/>
        <w:rPr>
          <w:rFonts w:ascii="宋体" w:hAnsi="宋体"/>
          <w:bCs/>
          <w:sz w:val="24"/>
          <w:szCs w:val="22"/>
          <w:lang w:val="en-GB"/>
        </w:rPr>
      </w:pPr>
      <w:r>
        <w:rPr>
          <w:rFonts w:ascii="宋体" w:hAnsi="宋体"/>
          <w:sz w:val="24"/>
          <w:szCs w:val="22"/>
        </w:rPr>
        <w:t>4.3、</w:t>
      </w:r>
      <w:r>
        <w:rPr>
          <w:rFonts w:hint="eastAsia" w:ascii="宋体" w:hAnsi="宋体"/>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hint="eastAsia" w:ascii="宋体" w:hAnsi="宋体"/>
          <w:b/>
          <w:sz w:val="24"/>
          <w:szCs w:val="22"/>
        </w:rPr>
        <w:t>0</w:t>
      </w:r>
      <w:r>
        <w:rPr>
          <w:rFonts w:ascii="宋体" w:hAnsi="宋体"/>
          <w:bCs/>
          <w:sz w:val="24"/>
          <w:szCs w:val="22"/>
          <w:lang w:val="en-GB"/>
        </w:rPr>
        <w:t>元</w:t>
      </w:r>
      <w:r>
        <w:rPr>
          <w:rFonts w:ascii="宋体" w:hAnsi="宋体"/>
          <w:bCs/>
          <w:sz w:val="24"/>
          <w:szCs w:val="22"/>
        </w:rPr>
        <w:t>；</w:t>
      </w:r>
    </w:p>
    <w:p>
      <w:pPr>
        <w:spacing w:line="360" w:lineRule="auto"/>
        <w:ind w:right="-61" w:rightChars="-29" w:firstLine="424" w:firstLineChars="177"/>
        <w:rPr>
          <w:rFonts w:ascii="宋体" w:hAnsi="宋体"/>
          <w:sz w:val="24"/>
          <w:szCs w:val="22"/>
        </w:rPr>
      </w:pPr>
      <w:r>
        <w:rPr>
          <w:rFonts w:ascii="宋体" w:hAnsi="宋体"/>
          <w:sz w:val="24"/>
          <w:szCs w:val="22"/>
        </w:rPr>
        <w:t>4.4、</w:t>
      </w:r>
      <w:r>
        <w:rPr>
          <w:rFonts w:hint="eastAsia" w:ascii="宋体" w:hAnsi="宋体"/>
          <w:sz w:val="24"/>
          <w:szCs w:val="22"/>
        </w:rPr>
        <w:t>响应人</w:t>
      </w:r>
      <w:r>
        <w:rPr>
          <w:rFonts w:ascii="宋体" w:hAnsi="宋体"/>
          <w:sz w:val="24"/>
          <w:szCs w:val="22"/>
        </w:rPr>
        <w:t>提问截止时间：</w:t>
      </w:r>
      <w:r>
        <w:rPr>
          <w:rFonts w:hint="eastAsia" w:ascii="宋体" w:hAnsi="宋体"/>
          <w:sz w:val="24"/>
          <w:szCs w:val="22"/>
        </w:rPr>
        <w:t>2024年</w:t>
      </w:r>
      <w:r>
        <w:rPr>
          <w:rFonts w:hint="eastAsia" w:ascii="宋体" w:hAnsi="宋体"/>
          <w:sz w:val="24"/>
          <w:szCs w:val="22"/>
          <w:lang w:val="en-US" w:eastAsia="zh-CN"/>
        </w:rPr>
        <w:t>4</w:t>
      </w:r>
      <w:r>
        <w:rPr>
          <w:rFonts w:hint="eastAsia" w:ascii="宋体" w:hAnsi="宋体"/>
          <w:sz w:val="24"/>
          <w:szCs w:val="22"/>
        </w:rPr>
        <w:t>月</w:t>
      </w:r>
      <w:r>
        <w:rPr>
          <w:rFonts w:hint="eastAsia" w:ascii="宋体" w:hAnsi="宋体"/>
          <w:sz w:val="24"/>
          <w:szCs w:val="22"/>
          <w:lang w:val="en-US" w:eastAsia="zh-CN"/>
        </w:rPr>
        <w:t>22</w:t>
      </w:r>
      <w:r>
        <w:rPr>
          <w:rFonts w:hint="eastAsia" w:ascii="宋体" w:hAnsi="宋体"/>
          <w:sz w:val="24"/>
          <w:szCs w:val="22"/>
        </w:rPr>
        <w:t>日17时30分</w:t>
      </w:r>
      <w:r>
        <w:rPr>
          <w:rFonts w:ascii="宋体" w:hAnsi="宋体"/>
          <w:sz w:val="24"/>
          <w:szCs w:val="22"/>
        </w:rPr>
        <w:t>（北京时间）。</w:t>
      </w:r>
    </w:p>
    <w:p>
      <w:pPr>
        <w:spacing w:line="360" w:lineRule="auto"/>
        <w:ind w:right="-61" w:rightChars="-29"/>
        <w:rPr>
          <w:rFonts w:ascii="宋体" w:hAnsi="宋体"/>
          <w:b/>
          <w:bCs/>
          <w:sz w:val="24"/>
          <w:szCs w:val="22"/>
          <w:lang w:val="zh-TW"/>
        </w:rPr>
      </w:pPr>
      <w:r>
        <w:rPr>
          <w:rFonts w:hint="eastAsia" w:ascii="宋体" w:hAnsi="宋体"/>
          <w:b/>
          <w:bCs/>
          <w:sz w:val="24"/>
          <w:szCs w:val="22"/>
          <w:lang w:val="zh-TW"/>
        </w:rPr>
        <w:t>四、</w:t>
      </w:r>
      <w:r>
        <w:rPr>
          <w:rFonts w:ascii="宋体" w:hAnsi="宋体"/>
          <w:b/>
          <w:bCs/>
          <w:sz w:val="24"/>
          <w:szCs w:val="22"/>
          <w:lang w:val="zh-TW"/>
        </w:rPr>
        <w:t xml:space="preserve"> 响应截止时间、响应时间及地点</w:t>
      </w:r>
    </w:p>
    <w:p>
      <w:pPr>
        <w:spacing w:line="360" w:lineRule="auto"/>
        <w:ind w:right="-61" w:rightChars="-29" w:firstLine="424" w:firstLineChars="177"/>
        <w:rPr>
          <w:rFonts w:ascii="宋体" w:hAnsi="宋体"/>
          <w:sz w:val="24"/>
          <w:szCs w:val="22"/>
        </w:rPr>
      </w:pPr>
      <w:r>
        <w:rPr>
          <w:rFonts w:ascii="宋体" w:hAnsi="宋体"/>
          <w:sz w:val="24"/>
          <w:szCs w:val="22"/>
        </w:rPr>
        <w:t>5.1、递交</w:t>
      </w:r>
      <w:r>
        <w:rPr>
          <w:rFonts w:hint="eastAsia" w:ascii="宋体" w:hAnsi="宋体"/>
          <w:sz w:val="24"/>
          <w:szCs w:val="22"/>
        </w:rPr>
        <w:t>响应</w:t>
      </w:r>
      <w:r>
        <w:rPr>
          <w:rFonts w:ascii="宋体" w:hAnsi="宋体"/>
          <w:sz w:val="24"/>
          <w:szCs w:val="22"/>
        </w:rPr>
        <w:t>文件时间：</w:t>
      </w:r>
      <w:r>
        <w:rPr>
          <w:rFonts w:hint="eastAsia" w:ascii="宋体" w:hAnsi="宋体"/>
          <w:sz w:val="24"/>
          <w:szCs w:val="22"/>
        </w:rPr>
        <w:t>2024年</w:t>
      </w:r>
      <w:r>
        <w:rPr>
          <w:rFonts w:hint="eastAsia" w:ascii="宋体" w:hAnsi="宋体"/>
          <w:sz w:val="24"/>
          <w:szCs w:val="22"/>
          <w:lang w:val="en-US" w:eastAsia="zh-CN"/>
        </w:rPr>
        <w:t>4</w:t>
      </w:r>
      <w:r>
        <w:rPr>
          <w:rFonts w:hint="eastAsia" w:ascii="宋体" w:hAnsi="宋体"/>
          <w:sz w:val="24"/>
          <w:szCs w:val="22"/>
        </w:rPr>
        <w:t>月</w:t>
      </w:r>
      <w:r>
        <w:rPr>
          <w:rFonts w:hint="eastAsia" w:ascii="宋体" w:hAnsi="宋体"/>
          <w:sz w:val="24"/>
          <w:szCs w:val="22"/>
          <w:lang w:val="en-US" w:eastAsia="zh-CN"/>
        </w:rPr>
        <w:t>23</w:t>
      </w:r>
      <w:r>
        <w:rPr>
          <w:rFonts w:hint="eastAsia" w:ascii="宋体" w:hAnsi="宋体"/>
          <w:sz w:val="24"/>
          <w:szCs w:val="22"/>
        </w:rPr>
        <w:t>日</w:t>
      </w:r>
      <w:r>
        <w:rPr>
          <w:rFonts w:hint="eastAsia" w:ascii="宋体" w:hAnsi="宋体"/>
          <w:sz w:val="24"/>
          <w:szCs w:val="22"/>
          <w:lang w:val="en-US" w:eastAsia="zh-CN"/>
        </w:rPr>
        <w:t>10</w:t>
      </w:r>
      <w:r>
        <w:rPr>
          <w:rFonts w:hint="eastAsia" w:ascii="宋体" w:hAnsi="宋体"/>
          <w:sz w:val="24"/>
          <w:szCs w:val="22"/>
        </w:rPr>
        <w:t>时10分</w:t>
      </w:r>
      <w:r>
        <w:rPr>
          <w:rFonts w:ascii="宋体" w:hAnsi="宋体"/>
          <w:bCs/>
          <w:sz w:val="24"/>
          <w:szCs w:val="22"/>
        </w:rPr>
        <w:t>（北京时间）</w:t>
      </w:r>
      <w:r>
        <w:rPr>
          <w:rFonts w:ascii="宋体" w:hAnsi="宋体"/>
          <w:sz w:val="24"/>
          <w:szCs w:val="22"/>
        </w:rPr>
        <w:t>，逾期或不符合规定的</w:t>
      </w:r>
      <w:r>
        <w:rPr>
          <w:rFonts w:hint="eastAsia" w:ascii="宋体" w:hAnsi="宋体"/>
          <w:sz w:val="24"/>
          <w:szCs w:val="22"/>
        </w:rPr>
        <w:t>响应</w:t>
      </w:r>
      <w:r>
        <w:rPr>
          <w:rFonts w:ascii="宋体" w:hAnsi="宋体"/>
          <w:sz w:val="24"/>
          <w:szCs w:val="22"/>
        </w:rPr>
        <w:t>文件恕不接收</w:t>
      </w:r>
      <w:r>
        <w:rPr>
          <w:rFonts w:ascii="宋体" w:hAnsi="宋体"/>
          <w:sz w:val="24"/>
          <w:szCs w:val="22"/>
          <w:lang w:val="zh-TW"/>
        </w:rPr>
        <w:t>；</w:t>
      </w:r>
    </w:p>
    <w:p>
      <w:pPr>
        <w:spacing w:line="360" w:lineRule="auto"/>
        <w:ind w:right="-61" w:rightChars="-29" w:firstLine="424" w:firstLineChars="177"/>
        <w:rPr>
          <w:rFonts w:ascii="宋体" w:hAnsi="宋体"/>
          <w:sz w:val="24"/>
          <w:szCs w:val="22"/>
          <w:lang w:val="zh-CN"/>
        </w:rPr>
      </w:pPr>
      <w:r>
        <w:rPr>
          <w:rFonts w:ascii="宋体" w:hAnsi="宋体"/>
          <w:sz w:val="24"/>
          <w:szCs w:val="22"/>
        </w:rPr>
        <w:t>5.2、开标时间：</w:t>
      </w:r>
      <w:r>
        <w:rPr>
          <w:rFonts w:hint="eastAsia" w:ascii="宋体" w:hAnsi="宋体"/>
          <w:bCs/>
          <w:sz w:val="24"/>
          <w:szCs w:val="22"/>
        </w:rPr>
        <w:t>2024年</w:t>
      </w:r>
      <w:r>
        <w:rPr>
          <w:rFonts w:hint="eastAsia" w:ascii="宋体" w:hAnsi="宋体"/>
          <w:bCs/>
          <w:sz w:val="24"/>
          <w:szCs w:val="22"/>
          <w:lang w:val="en-US" w:eastAsia="zh-CN"/>
        </w:rPr>
        <w:t>4</w:t>
      </w:r>
      <w:r>
        <w:rPr>
          <w:rFonts w:hint="eastAsia" w:ascii="宋体" w:hAnsi="宋体"/>
          <w:bCs/>
          <w:sz w:val="24"/>
          <w:szCs w:val="22"/>
        </w:rPr>
        <w:t>月</w:t>
      </w:r>
      <w:r>
        <w:rPr>
          <w:rFonts w:hint="eastAsia" w:ascii="宋体" w:hAnsi="宋体"/>
          <w:bCs/>
          <w:sz w:val="24"/>
          <w:szCs w:val="22"/>
          <w:lang w:val="en-US" w:eastAsia="zh-CN"/>
        </w:rPr>
        <w:t>23</w:t>
      </w:r>
      <w:r>
        <w:rPr>
          <w:rFonts w:hint="eastAsia" w:ascii="宋体" w:hAnsi="宋体"/>
          <w:bCs/>
          <w:sz w:val="24"/>
          <w:szCs w:val="22"/>
        </w:rPr>
        <w:t>日1</w:t>
      </w:r>
      <w:r>
        <w:rPr>
          <w:rFonts w:hint="eastAsia" w:ascii="宋体" w:hAnsi="宋体"/>
          <w:bCs/>
          <w:sz w:val="24"/>
          <w:szCs w:val="22"/>
          <w:lang w:val="en-US" w:eastAsia="zh-CN"/>
        </w:rPr>
        <w:t>0</w:t>
      </w:r>
      <w:r>
        <w:rPr>
          <w:rFonts w:hint="eastAsia" w:ascii="宋体" w:hAnsi="宋体"/>
          <w:bCs/>
          <w:sz w:val="24"/>
          <w:szCs w:val="22"/>
        </w:rPr>
        <w:t>时</w:t>
      </w:r>
      <w:r>
        <w:rPr>
          <w:rFonts w:hint="eastAsia" w:ascii="宋体" w:hAnsi="宋体"/>
          <w:bCs/>
          <w:sz w:val="24"/>
          <w:szCs w:val="22"/>
          <w:lang w:val="en-US" w:eastAsia="zh-CN"/>
        </w:rPr>
        <w:t>1</w:t>
      </w:r>
      <w:r>
        <w:rPr>
          <w:rFonts w:hint="eastAsia" w:ascii="宋体" w:hAnsi="宋体"/>
          <w:bCs/>
          <w:sz w:val="24"/>
          <w:szCs w:val="22"/>
        </w:rPr>
        <w:t>0分</w:t>
      </w:r>
      <w:r>
        <w:rPr>
          <w:rFonts w:ascii="宋体" w:hAnsi="宋体"/>
          <w:sz w:val="24"/>
          <w:szCs w:val="22"/>
          <w:lang w:val="zh-TW"/>
        </w:rPr>
        <w:t>；</w:t>
      </w:r>
    </w:p>
    <w:p>
      <w:pPr>
        <w:spacing w:line="360" w:lineRule="auto"/>
        <w:ind w:right="-61" w:rightChars="-29" w:firstLine="424" w:firstLineChars="177"/>
        <w:rPr>
          <w:rFonts w:ascii="宋体" w:hAnsi="宋体"/>
          <w:sz w:val="24"/>
          <w:szCs w:val="22"/>
          <w:lang w:val="zh-CN"/>
        </w:rPr>
      </w:pPr>
      <w:r>
        <w:rPr>
          <w:rFonts w:ascii="宋体" w:hAnsi="宋体"/>
          <w:sz w:val="24"/>
          <w:szCs w:val="22"/>
        </w:rPr>
        <w:t>5.3、开标地点：</w:t>
      </w:r>
      <w:r>
        <w:rPr>
          <w:rFonts w:hint="eastAsia" w:ascii="宋体" w:hAnsi="宋体"/>
          <w:sz w:val="24"/>
          <w:szCs w:val="22"/>
        </w:rPr>
        <w:t>海南省技师学院老城校区办公楼一楼会议室,如有变动另行通知；（适用于现场递交）</w:t>
      </w:r>
      <w:r>
        <w:rPr>
          <w:rFonts w:ascii="宋体" w:hAnsi="宋体"/>
          <w:sz w:val="24"/>
          <w:szCs w:val="22"/>
          <w:lang w:val="zh-TW"/>
        </w:rPr>
        <w:t>；</w:t>
      </w:r>
    </w:p>
    <w:p>
      <w:pPr>
        <w:spacing w:line="360" w:lineRule="auto"/>
        <w:ind w:right="-61" w:rightChars="-29" w:firstLine="424" w:firstLineChars="177"/>
        <w:rPr>
          <w:rFonts w:ascii="宋体" w:hAnsi="宋体"/>
          <w:color w:val="000000" w:themeColor="text1"/>
          <w:sz w:val="24"/>
          <w:szCs w:val="22"/>
          <w:lang w:val="zh-CN"/>
        </w:rPr>
      </w:pPr>
      <w:r>
        <w:rPr>
          <w:rFonts w:ascii="宋体" w:hAnsi="宋体"/>
          <w:sz w:val="24"/>
          <w:szCs w:val="22"/>
        </w:rPr>
        <w:t>5.4、</w:t>
      </w:r>
      <w:r>
        <w:rPr>
          <w:rFonts w:hint="eastAsia" w:ascii="宋体" w:hAnsi="宋体"/>
          <w:sz w:val="24"/>
          <w:szCs w:val="22"/>
        </w:rPr>
        <w:t>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hint="eastAsia" w:ascii="宋体" w:hAnsi="宋体"/>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hint="eastAsia" w:ascii="宋体" w:hAnsi="宋体" w:cs="宋体"/>
          <w:color w:val="000000" w:themeColor="text1"/>
          <w:sz w:val="24"/>
          <w:szCs w:val="22"/>
        </w:rPr>
        <w:t>海南省技师学院校园网</w:t>
      </w:r>
      <w:r>
        <w:rPr>
          <w:rFonts w:ascii="Calibri" w:hAnsi="宋体" w:cs="宋体"/>
          <w:color w:val="000000" w:themeColor="text1"/>
          <w:sz w:val="24"/>
          <w:szCs w:val="22"/>
        </w:rPr>
        <w:t>。</w:t>
      </w:r>
    </w:p>
    <w:p>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六、</w:t>
      </w:r>
      <w:r>
        <w:rPr>
          <w:rFonts w:ascii="宋体" w:hAnsi="宋体" w:cs="宋体"/>
          <w:b/>
          <w:bCs/>
          <w:color w:val="000000" w:themeColor="text1"/>
          <w:sz w:val="24"/>
          <w:szCs w:val="24"/>
          <w:lang w:val="zh-TW"/>
        </w:rPr>
        <w:t>联系方式</w:t>
      </w:r>
      <w:r>
        <w:rPr>
          <w:rFonts w:hint="eastAsia" w:ascii="宋体" w:hAnsi="宋体" w:cs="宋体"/>
          <w:b/>
          <w:bCs/>
          <w:color w:val="000000" w:themeColor="text1"/>
          <w:sz w:val="24"/>
          <w:szCs w:val="24"/>
          <w:lang w:val="zh-TW"/>
        </w:rPr>
        <w:t>：</w:t>
      </w:r>
    </w:p>
    <w:p>
      <w:pPr>
        <w:spacing w:line="360" w:lineRule="auto"/>
        <w:ind w:firstLine="424" w:firstLineChars="177"/>
        <w:rPr>
          <w:rFonts w:ascii="宋体" w:hAnsi="宋体" w:cs="宋体"/>
          <w:color w:val="000000" w:themeColor="text1"/>
          <w:sz w:val="24"/>
          <w:szCs w:val="24"/>
          <w:lang w:val="zh-TW"/>
        </w:rPr>
      </w:pPr>
      <w:r>
        <w:rPr>
          <w:rFonts w:hint="eastAsia" w:ascii="宋体" w:hAnsi="宋体" w:cs="宋体"/>
          <w:color w:val="000000" w:themeColor="text1"/>
          <w:sz w:val="24"/>
          <w:szCs w:val="24"/>
        </w:rPr>
        <w:t>招标</w:t>
      </w:r>
      <w:r>
        <w:rPr>
          <w:rFonts w:ascii="宋体" w:hAnsi="宋体" w:cs="宋体"/>
          <w:color w:val="000000" w:themeColor="text1"/>
          <w:sz w:val="24"/>
          <w:szCs w:val="24"/>
          <w:lang w:val="zh-TW"/>
        </w:rPr>
        <w:t>单位：海南省技师学院</w:t>
      </w:r>
    </w:p>
    <w:p>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hint="eastAsia" w:ascii="宋体" w:hAnsi="宋体" w:cs="宋体"/>
          <w:color w:val="000000" w:themeColor="text1"/>
          <w:sz w:val="24"/>
          <w:szCs w:val="24"/>
          <w:lang w:val="zh-TW"/>
        </w:rPr>
        <w:t>海南省海口市琼山区府城镇大园路77号</w:t>
      </w:r>
    </w:p>
    <w:p>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hint="eastAsia" w:ascii="宋体" w:hAnsi="宋体" w:cs="宋体"/>
          <w:color w:val="000000" w:themeColor="text1"/>
          <w:sz w:val="24"/>
          <w:szCs w:val="24"/>
          <w:lang w:val="zh-TW"/>
        </w:rPr>
        <w:t>：孟老师</w:t>
      </w:r>
    </w:p>
    <w:p>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联系电话：</w:t>
      </w:r>
      <w:r>
        <w:rPr>
          <w:rFonts w:ascii="宋体" w:hAnsi="宋体" w:eastAsia="PMingLiU" w:cs="宋体"/>
          <w:color w:val="000000" w:themeColor="text1"/>
          <w:sz w:val="24"/>
          <w:szCs w:val="24"/>
          <w:lang w:val="zh-TW" w:eastAsia="zh-TW"/>
        </w:rPr>
        <w:t>13876395352</w:t>
      </w:r>
    </w:p>
    <w:p>
      <w:pPr>
        <w:rPr>
          <w:color w:val="000000" w:themeColor="text1"/>
        </w:rPr>
      </w:pPr>
    </w:p>
    <w:p>
      <w:pPr>
        <w:jc w:val="center"/>
        <w:rPr>
          <w:b/>
          <w:color w:val="000000" w:themeColor="text1"/>
          <w:sz w:val="32"/>
          <w:szCs w:val="32"/>
        </w:rPr>
      </w:pPr>
      <w:bookmarkStart w:id="6" w:name="_Toc116920189"/>
      <w:r>
        <w:rPr>
          <w:rFonts w:hint="eastAsia"/>
          <w:b/>
          <w:color w:val="000000" w:themeColor="text1"/>
          <w:sz w:val="32"/>
          <w:szCs w:val="32"/>
        </w:rPr>
        <w:t>第二</w:t>
      </w:r>
      <w:bookmarkEnd w:id="3"/>
      <w:bookmarkStart w:id="7" w:name="_Toc238907001"/>
      <w:r>
        <w:rPr>
          <w:rFonts w:hint="eastAsia"/>
          <w:b/>
          <w:color w:val="000000" w:themeColor="text1"/>
          <w:sz w:val="32"/>
          <w:szCs w:val="32"/>
        </w:rPr>
        <w:t>章供应商须知</w:t>
      </w:r>
      <w:bookmarkEnd w:id="4"/>
      <w:bookmarkEnd w:id="5"/>
      <w:bookmarkEnd w:id="6"/>
    </w:p>
    <w:p>
      <w:pPr>
        <w:pStyle w:val="288"/>
        <w:spacing w:before="156" w:after="156"/>
        <w:outlineLvl w:val="1"/>
        <w:rPr>
          <w:color w:val="000000" w:themeColor="text1"/>
        </w:rPr>
      </w:pPr>
      <w:bookmarkStart w:id="8" w:name="_Toc116920190"/>
      <w:bookmarkStart w:id="9" w:name="_Toc413606684"/>
      <w:bookmarkStart w:id="10" w:name="_Toc500352175"/>
      <w:r>
        <w:rPr>
          <w:rFonts w:hint="eastAsia"/>
          <w:color w:val="000000" w:themeColor="text1"/>
        </w:rPr>
        <w:t>一、总   则</w:t>
      </w:r>
      <w:bookmarkEnd w:id="7"/>
      <w:bookmarkEnd w:id="8"/>
      <w:bookmarkEnd w:id="9"/>
      <w:bookmarkEnd w:id="10"/>
    </w:p>
    <w:p>
      <w:pPr>
        <w:spacing w:line="500" w:lineRule="exact"/>
        <w:rPr>
          <w:b/>
          <w:color w:val="000000" w:themeColor="text1"/>
          <w:sz w:val="28"/>
          <w:szCs w:val="28"/>
        </w:rPr>
      </w:pPr>
      <w:bookmarkStart w:id="11" w:name="_Toc238907002"/>
      <w:r>
        <w:rPr>
          <w:rFonts w:hint="eastAsia"/>
          <w:b/>
          <w:color w:val="000000" w:themeColor="text1"/>
          <w:sz w:val="28"/>
          <w:szCs w:val="28"/>
        </w:rPr>
        <w:t>1．适用范围</w:t>
      </w:r>
      <w:bookmarkEnd w:id="11"/>
    </w:p>
    <w:p>
      <w:pPr>
        <w:tabs>
          <w:tab w:val="left" w:pos="7665"/>
        </w:tabs>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w:t>
      </w:r>
      <w:r>
        <w:rPr>
          <w:rFonts w:ascii="宋体" w:hAnsi="宋体"/>
          <w:color w:val="000000" w:themeColor="text1"/>
          <w:sz w:val="24"/>
          <w:szCs w:val="24"/>
        </w:rPr>
        <w:t>.</w:t>
      </w:r>
      <w:r>
        <w:rPr>
          <w:rFonts w:hint="eastAsia" w:ascii="宋体" w:hAnsi="宋体"/>
          <w:color w:val="000000" w:themeColor="text1"/>
          <w:sz w:val="24"/>
          <w:szCs w:val="24"/>
        </w:rPr>
        <w:t>1 本谈判文件仅适用于本次竞争性谈判所叙述的工程、货物和服务项目采购。</w:t>
      </w:r>
    </w:p>
    <w:p>
      <w:pPr>
        <w:spacing w:line="500" w:lineRule="exact"/>
        <w:rPr>
          <w:b/>
          <w:color w:val="000000" w:themeColor="text1"/>
          <w:sz w:val="28"/>
          <w:szCs w:val="28"/>
        </w:rPr>
      </w:pPr>
      <w:bookmarkStart w:id="12" w:name="_Toc238907003"/>
      <w:r>
        <w:rPr>
          <w:rFonts w:hint="eastAsia"/>
          <w:b/>
          <w:color w:val="000000" w:themeColor="text1"/>
          <w:sz w:val="28"/>
          <w:szCs w:val="28"/>
        </w:rPr>
        <w:t>2．</w:t>
      </w:r>
      <w:bookmarkEnd w:id="12"/>
      <w:r>
        <w:rPr>
          <w:rFonts w:hint="eastAsia"/>
          <w:b/>
          <w:color w:val="000000" w:themeColor="text1"/>
          <w:sz w:val="28"/>
          <w:szCs w:val="28"/>
        </w:rPr>
        <w:t>合格的供应商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 xml:space="preserve">2.1 </w:t>
      </w:r>
      <w:r>
        <w:rPr>
          <w:rFonts w:ascii="宋体" w:hAnsi="宋体"/>
          <w:color w:val="000000" w:themeColor="text1"/>
          <w:sz w:val="24"/>
          <w:szCs w:val="24"/>
        </w:rPr>
        <w:t>符合《政府采购法》规定的供应商资格</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 供应商其他</w:t>
      </w:r>
      <w:r>
        <w:rPr>
          <w:rFonts w:ascii="宋体" w:hAnsi="宋体"/>
          <w:color w:val="000000" w:themeColor="text1"/>
          <w:sz w:val="24"/>
          <w:szCs w:val="24"/>
        </w:rPr>
        <w:t>合格条件详见本</w:t>
      </w:r>
      <w:r>
        <w:rPr>
          <w:rFonts w:hint="eastAsia" w:ascii="宋体" w:hAnsi="宋体"/>
          <w:color w:val="000000" w:themeColor="text1"/>
          <w:sz w:val="24"/>
          <w:szCs w:val="24"/>
        </w:rPr>
        <w:t>项目采购</w:t>
      </w:r>
      <w:r>
        <w:rPr>
          <w:rFonts w:ascii="宋体" w:hAnsi="宋体"/>
          <w:color w:val="000000" w:themeColor="text1"/>
          <w:sz w:val="24"/>
          <w:szCs w:val="24"/>
        </w:rPr>
        <w:t>公告</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2.3本谈判文件名词解释：供应商=响应人</w:t>
      </w:r>
    </w:p>
    <w:p>
      <w:pPr>
        <w:spacing w:line="500" w:lineRule="exact"/>
        <w:rPr>
          <w:b/>
          <w:color w:val="000000" w:themeColor="text1"/>
          <w:sz w:val="28"/>
          <w:szCs w:val="28"/>
        </w:rPr>
      </w:pPr>
      <w:bookmarkStart w:id="13" w:name="_Toc238907004"/>
      <w:r>
        <w:rPr>
          <w:rFonts w:hint="eastAsia"/>
          <w:b/>
          <w:color w:val="000000" w:themeColor="text1"/>
          <w:sz w:val="28"/>
          <w:szCs w:val="28"/>
        </w:rPr>
        <w:t>3．费用</w:t>
      </w:r>
      <w:bookmarkEnd w:id="13"/>
    </w:p>
    <w:p>
      <w:pPr>
        <w:adjustRightInd w:val="0"/>
        <w:snapToGrid w:val="0"/>
        <w:spacing w:line="500" w:lineRule="exact"/>
        <w:ind w:firstLine="480" w:firstLineChars="200"/>
        <w:rPr>
          <w:rFonts w:ascii="宋体" w:hAnsi="宋体"/>
          <w:color w:val="000000" w:themeColor="text1"/>
          <w:sz w:val="24"/>
        </w:rPr>
      </w:pPr>
      <w:r>
        <w:rPr>
          <w:rFonts w:hint="eastAsia" w:ascii="宋体" w:hAnsi="宋体"/>
          <w:color w:val="000000" w:themeColor="text1"/>
          <w:sz w:val="24"/>
        </w:rPr>
        <w:t>3</w:t>
      </w:r>
      <w:r>
        <w:rPr>
          <w:rFonts w:ascii="宋体" w:hAnsi="宋体"/>
          <w:color w:val="000000" w:themeColor="text1"/>
          <w:sz w:val="24"/>
        </w:rPr>
        <w:t>.1</w:t>
      </w:r>
      <w:r>
        <w:rPr>
          <w:rFonts w:hint="eastAsia" w:ascii="宋体" w:hAnsi="宋体"/>
          <w:color w:val="000000" w:themeColor="text1"/>
          <w:sz w:val="24"/>
        </w:rPr>
        <w:t xml:space="preserve"> 供应商</w:t>
      </w:r>
      <w:r>
        <w:rPr>
          <w:rFonts w:ascii="宋体" w:hAnsi="宋体"/>
          <w:color w:val="000000" w:themeColor="text1"/>
          <w:sz w:val="24"/>
        </w:rPr>
        <w:t>应承担其</w:t>
      </w:r>
      <w:r>
        <w:rPr>
          <w:rFonts w:hint="eastAsia" w:ascii="宋体" w:hAnsi="宋体"/>
          <w:color w:val="000000" w:themeColor="text1"/>
          <w:sz w:val="24"/>
        </w:rPr>
        <w:t>编制响应文件与递交响应文件等响应过程中所涉及的一切费用，不论响应结果如何，采购人将不予承担。</w:t>
      </w:r>
    </w:p>
    <w:p>
      <w:pPr>
        <w:adjustRightInd w:val="0"/>
        <w:snapToGrid w:val="0"/>
        <w:spacing w:line="500" w:lineRule="exact"/>
        <w:rPr>
          <w:b/>
          <w:color w:val="000000" w:themeColor="text1"/>
          <w:sz w:val="28"/>
          <w:szCs w:val="28"/>
        </w:rPr>
      </w:pPr>
      <w:bookmarkStart w:id="14" w:name="_Toc238907005"/>
      <w:r>
        <w:rPr>
          <w:rFonts w:hint="eastAsia"/>
          <w:b/>
          <w:color w:val="000000" w:themeColor="text1"/>
          <w:sz w:val="28"/>
          <w:szCs w:val="28"/>
        </w:rPr>
        <w:t>4．法律适用</w:t>
      </w:r>
      <w:bookmarkEnd w:id="14"/>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4.1 本次采购活动及由本次采购产生的合同受中华人民共和国的法律制约和保护。</w:t>
      </w:r>
    </w:p>
    <w:p>
      <w:pPr>
        <w:spacing w:line="500" w:lineRule="exact"/>
        <w:rPr>
          <w:b/>
          <w:color w:val="000000" w:themeColor="text1"/>
          <w:sz w:val="28"/>
          <w:szCs w:val="28"/>
        </w:rPr>
      </w:pPr>
      <w:bookmarkStart w:id="15" w:name="_Toc238907006"/>
      <w:r>
        <w:rPr>
          <w:rFonts w:hint="eastAsia"/>
          <w:b/>
          <w:color w:val="000000" w:themeColor="text1"/>
          <w:sz w:val="28"/>
          <w:szCs w:val="28"/>
        </w:rPr>
        <w:t>5．</w:t>
      </w:r>
      <w:bookmarkEnd w:id="15"/>
      <w:r>
        <w:rPr>
          <w:rFonts w:hint="eastAsia"/>
          <w:b/>
          <w:color w:val="000000" w:themeColor="text1"/>
          <w:sz w:val="28"/>
          <w:szCs w:val="28"/>
        </w:rPr>
        <w:t>谈判文件的约束力</w:t>
      </w:r>
    </w:p>
    <w:p>
      <w:pPr>
        <w:spacing w:line="500" w:lineRule="exact"/>
        <w:ind w:firstLine="432" w:firstLineChars="180"/>
        <w:rPr>
          <w:rFonts w:ascii="宋体" w:hAnsi="宋体"/>
          <w:color w:val="000000" w:themeColor="text1"/>
          <w:sz w:val="24"/>
          <w:szCs w:val="24"/>
        </w:rPr>
      </w:pPr>
      <w:r>
        <w:rPr>
          <w:rFonts w:hint="eastAsia" w:ascii="宋体" w:hAnsi="宋体"/>
          <w:color w:val="000000" w:themeColor="text1"/>
          <w:sz w:val="24"/>
          <w:szCs w:val="24"/>
        </w:rPr>
        <w:t>5.l 供应商获得本谈判文件后，在3个工作日内（</w:t>
      </w:r>
      <w:r>
        <w:rPr>
          <w:rFonts w:hint="eastAsia" w:ascii="宋体" w:hAnsi="宋体"/>
          <w:color w:val="000000" w:themeColor="text1"/>
          <w:sz w:val="24"/>
          <w:szCs w:val="24"/>
          <w:lang w:val="en-US" w:eastAsia="zh-CN"/>
        </w:rPr>
        <w:t>4</w:t>
      </w:r>
      <w:r>
        <w:rPr>
          <w:rFonts w:hint="eastAsia" w:ascii="宋体" w:hAnsi="宋体"/>
          <w:color w:val="000000" w:themeColor="text1"/>
          <w:sz w:val="24"/>
          <w:szCs w:val="24"/>
        </w:rPr>
        <w:t>月</w:t>
      </w:r>
      <w:r>
        <w:rPr>
          <w:rFonts w:hint="eastAsia" w:ascii="宋体" w:hAnsi="宋体"/>
          <w:color w:val="000000" w:themeColor="text1"/>
          <w:sz w:val="24"/>
          <w:szCs w:val="24"/>
          <w:lang w:val="en-US" w:eastAsia="zh-CN"/>
        </w:rPr>
        <w:t>22</w:t>
      </w:r>
      <w:r>
        <w:rPr>
          <w:rFonts w:hint="eastAsia" w:ascii="宋体" w:hAnsi="宋体"/>
          <w:color w:val="000000" w:themeColor="text1"/>
          <w:sz w:val="24"/>
          <w:szCs w:val="24"/>
        </w:rPr>
        <w:t>日17:30之前）未对海南省技师学院基建设备项目管理部提出书面质疑，即被认为接受了本谈判文件中的所有条款和规定。</w:t>
      </w:r>
    </w:p>
    <w:p>
      <w:pPr>
        <w:pStyle w:val="288"/>
        <w:spacing w:before="156" w:after="156"/>
        <w:outlineLvl w:val="1"/>
        <w:rPr>
          <w:color w:val="000000" w:themeColor="text1"/>
        </w:rPr>
      </w:pPr>
      <w:bookmarkStart w:id="16" w:name="_Toc238907007"/>
      <w:bookmarkStart w:id="17" w:name="_Toc116920191"/>
      <w:bookmarkStart w:id="18" w:name="_Toc500352176"/>
      <w:bookmarkStart w:id="19" w:name="_Toc413606685"/>
    </w:p>
    <w:p>
      <w:pPr>
        <w:pStyle w:val="288"/>
        <w:spacing w:before="156" w:after="156"/>
        <w:outlineLvl w:val="1"/>
        <w:rPr>
          <w:color w:val="000000" w:themeColor="text1"/>
        </w:rPr>
      </w:pPr>
      <w:r>
        <w:rPr>
          <w:rFonts w:hint="eastAsia"/>
          <w:color w:val="000000" w:themeColor="text1"/>
        </w:rPr>
        <w:t>二、谈判文件</w:t>
      </w:r>
      <w:bookmarkEnd w:id="16"/>
      <w:bookmarkEnd w:id="17"/>
      <w:bookmarkEnd w:id="18"/>
      <w:bookmarkEnd w:id="19"/>
    </w:p>
    <w:p>
      <w:pPr>
        <w:rPr>
          <w:b/>
          <w:color w:val="000000" w:themeColor="text1"/>
          <w:sz w:val="28"/>
          <w:szCs w:val="28"/>
        </w:rPr>
      </w:pPr>
      <w:bookmarkStart w:id="20" w:name="_Toc238907008"/>
      <w:r>
        <w:rPr>
          <w:rFonts w:hint="eastAsia"/>
          <w:b/>
          <w:color w:val="000000" w:themeColor="text1"/>
          <w:sz w:val="28"/>
          <w:szCs w:val="28"/>
        </w:rPr>
        <w:t>6．</w:t>
      </w:r>
      <w:bookmarkEnd w:id="20"/>
      <w:r>
        <w:rPr>
          <w:rFonts w:hint="eastAsia"/>
          <w:b/>
          <w:color w:val="000000" w:themeColor="text1"/>
          <w:sz w:val="28"/>
          <w:szCs w:val="28"/>
        </w:rPr>
        <w:t>谈判文件的组成</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6.l 谈判文件由六部分组成，包括：</w:t>
      </w:r>
    </w:p>
    <w:p>
      <w:pPr>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第一部分  竞争性谈判公告</w:t>
      </w:r>
    </w:p>
    <w:p>
      <w:pPr>
        <w:spacing w:line="360" w:lineRule="auto"/>
        <w:rPr>
          <w:rFonts w:ascii="宋体" w:hAnsi="宋体"/>
          <w:color w:val="000000" w:themeColor="text1"/>
          <w:sz w:val="24"/>
          <w:szCs w:val="24"/>
        </w:rPr>
      </w:pPr>
      <w:r>
        <w:rPr>
          <w:rFonts w:hint="eastAsia" w:ascii="宋体" w:hAnsi="宋体"/>
          <w:color w:val="000000" w:themeColor="text1"/>
          <w:sz w:val="24"/>
          <w:szCs w:val="24"/>
        </w:rPr>
        <w:t xml:space="preserve">    第二部分  供应商须知</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第三部分  用户需求书</w:t>
      </w:r>
    </w:p>
    <w:p>
      <w:pPr>
        <w:pStyle w:val="361"/>
        <w:spacing w:line="360" w:lineRule="auto"/>
        <w:ind w:firstLine="480"/>
        <w:rPr>
          <w:color w:val="000000" w:themeColor="text1"/>
          <w:sz w:val="24"/>
        </w:rPr>
      </w:pPr>
      <w:r>
        <w:rPr>
          <w:rFonts w:hint="eastAsia" w:ascii="宋体" w:hAnsi="宋体"/>
          <w:color w:val="000000" w:themeColor="text1"/>
          <w:kern w:val="0"/>
          <w:sz w:val="24"/>
        </w:rPr>
        <w:t>第四部分  合同主要条款</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第五部分  谈判文件格式</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第六部分  评审办法</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6</w:t>
      </w:r>
      <w:r>
        <w:rPr>
          <w:rFonts w:ascii="宋体" w:hAnsi="宋体"/>
          <w:color w:val="000000" w:themeColor="text1"/>
          <w:sz w:val="24"/>
          <w:szCs w:val="24"/>
        </w:rPr>
        <w:t xml:space="preserve">.1 </w:t>
      </w:r>
      <w:r>
        <w:rPr>
          <w:rFonts w:hint="eastAsia" w:ascii="宋体" w:hAnsi="宋体"/>
          <w:color w:val="000000" w:themeColor="text1"/>
          <w:sz w:val="24"/>
          <w:szCs w:val="24"/>
        </w:rPr>
        <w:t>请仔细检查招标文件是否齐全，如有缺漏，请立即与海南省技师学院基建设备项目部联系解决。</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pPr>
        <w:spacing w:line="500" w:lineRule="exact"/>
        <w:rPr>
          <w:b/>
          <w:color w:val="000000" w:themeColor="text1"/>
          <w:sz w:val="28"/>
          <w:szCs w:val="28"/>
        </w:rPr>
      </w:pPr>
      <w:bookmarkStart w:id="21" w:name="_Toc238907009"/>
      <w:r>
        <w:rPr>
          <w:rFonts w:hint="eastAsia"/>
          <w:b/>
          <w:color w:val="000000" w:themeColor="text1"/>
          <w:sz w:val="28"/>
          <w:szCs w:val="28"/>
        </w:rPr>
        <w:t>7．</w:t>
      </w:r>
      <w:bookmarkEnd w:id="21"/>
      <w:r>
        <w:rPr>
          <w:rFonts w:hint="eastAsia"/>
          <w:b/>
          <w:color w:val="000000" w:themeColor="text1"/>
          <w:sz w:val="28"/>
          <w:szCs w:val="28"/>
        </w:rPr>
        <w:t>谈判文件的澄清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7</w:t>
      </w:r>
      <w:r>
        <w:rPr>
          <w:rFonts w:ascii="宋体" w:hAnsi="宋体"/>
          <w:color w:val="000000" w:themeColor="text1"/>
          <w:sz w:val="24"/>
          <w:szCs w:val="24"/>
        </w:rPr>
        <w:t>.</w:t>
      </w:r>
      <w:r>
        <w:rPr>
          <w:rFonts w:hint="eastAsia" w:ascii="宋体" w:hAnsi="宋体"/>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rPr>
        <w:t>7</w:t>
      </w:r>
      <w:r>
        <w:rPr>
          <w:rFonts w:ascii="宋体" w:hAnsi="宋体"/>
          <w:b/>
          <w:bCs/>
          <w:color w:val="000000" w:themeColor="text1"/>
          <w:sz w:val="24"/>
        </w:rPr>
        <w:t>.</w:t>
      </w:r>
      <w:r>
        <w:rPr>
          <w:rFonts w:hint="eastAsia" w:ascii="宋体" w:hAnsi="宋体"/>
          <w:color w:val="000000" w:themeColor="text1"/>
          <w:sz w:val="24"/>
        </w:rPr>
        <w:t>2</w:t>
      </w:r>
      <w:r>
        <w:rPr>
          <w:rFonts w:hint="eastAsia" w:ascii="宋体" w:hAnsi="宋体"/>
          <w:color w:val="000000" w:themeColor="text1"/>
          <w:sz w:val="24"/>
          <w:szCs w:val="24"/>
        </w:rPr>
        <w:t>供应商</w:t>
      </w:r>
      <w:r>
        <w:rPr>
          <w:rFonts w:hint="eastAsia" w:ascii="宋体" w:hAnsi="宋体"/>
          <w:color w:val="000000" w:themeColor="text1"/>
          <w:sz w:val="24"/>
        </w:rPr>
        <w:t>要求对谈判文件进行澄清的，均应在响应截止日前按谈判文件中的联系方式，以书面形式通知海南省技师学院基建设备项目管理部。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pPr>
        <w:spacing w:line="500" w:lineRule="exact"/>
        <w:ind w:firstLine="542" w:firstLineChars="226"/>
        <w:rPr>
          <w:rFonts w:ascii="宋体" w:hAnsi="宋体"/>
          <w:color w:val="000000" w:themeColor="text1"/>
          <w:sz w:val="24"/>
          <w:szCs w:val="24"/>
        </w:rPr>
      </w:pPr>
      <w:r>
        <w:rPr>
          <w:rFonts w:hint="eastAsia" w:ascii="宋体" w:hAnsi="宋体"/>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2" w:name="_Toc217446041"/>
      <w:bookmarkStart w:id="23" w:name="_Toc183682350"/>
      <w:bookmarkStart w:id="24" w:name="_Toc183582213"/>
      <w:bookmarkStart w:id="25" w:name="_Toc208848971"/>
    </w:p>
    <w:bookmarkEnd w:id="22"/>
    <w:bookmarkEnd w:id="23"/>
    <w:bookmarkEnd w:id="24"/>
    <w:bookmarkEnd w:id="25"/>
    <w:p>
      <w:pPr>
        <w:spacing w:line="500" w:lineRule="exact"/>
        <w:rPr>
          <w:b/>
          <w:color w:val="000000" w:themeColor="text1"/>
          <w:sz w:val="28"/>
          <w:szCs w:val="28"/>
        </w:rPr>
      </w:pPr>
      <w:bookmarkStart w:id="26" w:name="_Toc238907010"/>
      <w:r>
        <w:rPr>
          <w:rFonts w:hint="eastAsia"/>
          <w:b/>
          <w:color w:val="000000" w:themeColor="text1"/>
          <w:sz w:val="28"/>
          <w:szCs w:val="28"/>
        </w:rPr>
        <w:t>8．</w:t>
      </w:r>
      <w:bookmarkEnd w:id="26"/>
      <w:r>
        <w:rPr>
          <w:rFonts w:hint="eastAsia"/>
          <w:b/>
          <w:color w:val="000000" w:themeColor="text1"/>
          <w:sz w:val="28"/>
          <w:szCs w:val="28"/>
        </w:rPr>
        <w:t>谈判文件的更正或补充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8.l 在响应截止时间前1天，海南省技师学院基建设备项目管理部均可对谈判文件用补遗书的方式进行修正。</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8.2 对谈判文件的更正，将以书面形式通知所有供应商。补遗书将作为谈判文件的组成部分，对所有供应商有约束力。</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8.3 当谈判文件与补遗书的内容相互矛盾时，以海南省技师学院基建设备项目管理部最后发出的补遗书为准。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8.4 供应商在收到补遗书后，应于1个工作日内正式书面回函海南省技师学院。逾期不回的，学院基建设备项目管理部视同供应商已收到补遗书。</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8.5 为使供应商有足够的时间按谈判文件的更正要求修正响应文件，学院基建设备项目管理部有权决定推迟响应截止日期和谈判时间，并将此变更书面通知所有购买了同一谈判文件的供应商。</w:t>
      </w:r>
    </w:p>
    <w:p>
      <w:pPr>
        <w:pStyle w:val="288"/>
        <w:spacing w:before="156" w:after="156"/>
        <w:outlineLvl w:val="1"/>
        <w:rPr>
          <w:color w:val="000000" w:themeColor="text1"/>
        </w:rPr>
      </w:pPr>
      <w:bookmarkStart w:id="27" w:name="_Toc238907011"/>
      <w:bookmarkStart w:id="28" w:name="_Toc116920192"/>
      <w:bookmarkStart w:id="29" w:name="_Toc500352177"/>
      <w:bookmarkStart w:id="30" w:name="_Toc413606686"/>
      <w:r>
        <w:rPr>
          <w:rFonts w:hint="eastAsia"/>
          <w:color w:val="000000" w:themeColor="text1"/>
        </w:rPr>
        <w:t>三、</w:t>
      </w:r>
      <w:bookmarkEnd w:id="27"/>
      <w:r>
        <w:rPr>
          <w:rFonts w:hint="eastAsia"/>
          <w:color w:val="000000" w:themeColor="text1"/>
        </w:rPr>
        <w:t>响应文件</w:t>
      </w:r>
      <w:bookmarkEnd w:id="28"/>
      <w:bookmarkEnd w:id="29"/>
      <w:bookmarkEnd w:id="30"/>
    </w:p>
    <w:p>
      <w:pPr>
        <w:rPr>
          <w:b/>
          <w:color w:val="000000" w:themeColor="text1"/>
          <w:sz w:val="28"/>
          <w:szCs w:val="28"/>
        </w:rPr>
      </w:pPr>
      <w:bookmarkStart w:id="31" w:name="_Toc238907012"/>
      <w:r>
        <w:rPr>
          <w:rFonts w:hint="eastAsia"/>
          <w:b/>
          <w:color w:val="000000" w:themeColor="text1"/>
          <w:sz w:val="28"/>
          <w:szCs w:val="28"/>
        </w:rPr>
        <w:t>9．</w:t>
      </w:r>
      <w:bookmarkEnd w:id="31"/>
      <w:r>
        <w:rPr>
          <w:rFonts w:hint="eastAsia"/>
          <w:b/>
          <w:color w:val="000000" w:themeColor="text1"/>
          <w:sz w:val="28"/>
          <w:szCs w:val="28"/>
        </w:rPr>
        <w:t>响应文件的语言及度量衡</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9.1供应商提交的响应文件以及供应商与采购单位就有关响应的所有来往书面文件均须使用</w:t>
      </w:r>
      <w:r>
        <w:rPr>
          <w:rFonts w:hint="eastAsia" w:ascii="宋体" w:hAnsi="宋体"/>
          <w:b/>
          <w:color w:val="000000" w:themeColor="text1"/>
          <w:sz w:val="24"/>
          <w:szCs w:val="24"/>
          <w:u w:val="single"/>
        </w:rPr>
        <w:t xml:space="preserve">中 文 </w:t>
      </w:r>
      <w:r>
        <w:rPr>
          <w:rFonts w:hint="eastAsia" w:ascii="宋体" w:hAnsi="宋体"/>
          <w:color w:val="000000" w:themeColor="text1"/>
          <w:sz w:val="24"/>
          <w:szCs w:val="24"/>
        </w:rPr>
        <w:t>（语言文字）。响应文件中如附有外文资料，必须逐一对应翻译成中文并加盖供应商公章后附在相关外文资料后面，否则，供应商的响应文件将作为无效响应处理。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9.2 供应商已印刷好的资料如产品样本、说明书等可以用其他语言，但其中要点应附有中文译文。在解释响应文件时，以译文为准。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9.3 除在谈判文件第五部分中另有规定外，度量衡单位应使用国际单位制。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9.4 本谈判文件所表述的时间均为北京时间。</w:t>
      </w:r>
    </w:p>
    <w:p>
      <w:pPr>
        <w:rPr>
          <w:b/>
          <w:color w:val="000000" w:themeColor="text1"/>
          <w:sz w:val="28"/>
          <w:szCs w:val="28"/>
        </w:rPr>
      </w:pPr>
      <w:bookmarkStart w:id="32" w:name="_Toc238907013"/>
      <w:r>
        <w:rPr>
          <w:rFonts w:hint="eastAsia"/>
          <w:b/>
          <w:color w:val="000000" w:themeColor="text1"/>
          <w:sz w:val="28"/>
          <w:szCs w:val="28"/>
        </w:rPr>
        <w:t>10．</w:t>
      </w:r>
      <w:bookmarkEnd w:id="32"/>
      <w:r>
        <w:rPr>
          <w:rFonts w:hint="eastAsia"/>
          <w:b/>
          <w:color w:val="000000" w:themeColor="text1"/>
          <w:sz w:val="28"/>
          <w:szCs w:val="28"/>
        </w:rPr>
        <w:t>谈判文件的组成</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10．l 响应文件应包括下列部分（目录及有关格式按谈判文件第五部分“响应文件格式”要求）：</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10.1.1、响应函</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10.1.2、报价一览表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10.1.3、授权委托书</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10.1.4、响应保证金</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10.1.5、供应商的基本情况表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10.1.6、</w:t>
      </w:r>
      <w:r>
        <w:rPr>
          <w:rFonts w:hint="eastAsia" w:ascii="宋体" w:hAnsi="宋体"/>
          <w:bCs/>
          <w:color w:val="000000" w:themeColor="text1"/>
          <w:sz w:val="24"/>
          <w:szCs w:val="24"/>
        </w:rPr>
        <w:t>中小企业声明函</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10.1.7、其他资料</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10.1.8、用户需求响应情况表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10.1.9、承诺函</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10.2 若供应商未按谈判文件的要求提供资料，或未对谈判文件做出实质性响应，将导致响应文件被视为无效。</w:t>
      </w:r>
    </w:p>
    <w:p>
      <w:pPr>
        <w:spacing w:line="500" w:lineRule="exact"/>
        <w:rPr>
          <w:b/>
          <w:color w:val="000000" w:themeColor="text1"/>
          <w:sz w:val="28"/>
          <w:szCs w:val="28"/>
        </w:rPr>
      </w:pPr>
      <w:bookmarkStart w:id="33" w:name="_Toc238907014"/>
      <w:r>
        <w:rPr>
          <w:rFonts w:hint="eastAsia"/>
          <w:b/>
          <w:color w:val="000000" w:themeColor="text1"/>
          <w:sz w:val="28"/>
          <w:szCs w:val="28"/>
        </w:rPr>
        <w:t>11．</w:t>
      </w:r>
      <w:bookmarkEnd w:id="33"/>
      <w:r>
        <w:rPr>
          <w:rFonts w:hint="eastAsia"/>
          <w:b/>
          <w:color w:val="000000" w:themeColor="text1"/>
          <w:sz w:val="28"/>
          <w:szCs w:val="28"/>
        </w:rPr>
        <w:t>响应报价</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11.1本次采购采用总承包方式，采购控制价为：41.8万。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11.2中标下浮率的计算：中标下浮率=［中标价/控制价-1］×100%</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11.3各响应商按总价金额报价，精确至小数点后两位。平均值和中标下浮率计算小数点后取两位有效，第三位四舍五入。</w:t>
      </w:r>
    </w:p>
    <w:p>
      <w:pPr>
        <w:spacing w:line="500" w:lineRule="exact"/>
        <w:rPr>
          <w:b/>
          <w:color w:val="000000" w:themeColor="text1"/>
          <w:sz w:val="28"/>
          <w:szCs w:val="28"/>
        </w:rPr>
      </w:pPr>
      <w:bookmarkStart w:id="34" w:name="_Toc238907015"/>
      <w:r>
        <w:rPr>
          <w:rFonts w:hint="eastAsia"/>
          <w:b/>
          <w:color w:val="000000" w:themeColor="text1"/>
          <w:sz w:val="28"/>
          <w:szCs w:val="28"/>
        </w:rPr>
        <w:t xml:space="preserve">12. </w:t>
      </w:r>
      <w:bookmarkEnd w:id="34"/>
      <w:r>
        <w:rPr>
          <w:rFonts w:hint="eastAsia"/>
          <w:b/>
          <w:color w:val="000000" w:themeColor="text1"/>
          <w:sz w:val="28"/>
          <w:szCs w:val="28"/>
        </w:rPr>
        <w:t>响应货币</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12.1 响应报价均须以人民币为计算单位。谈判文件另有规定的，从其规定。</w:t>
      </w:r>
    </w:p>
    <w:p>
      <w:pPr>
        <w:spacing w:line="500" w:lineRule="exact"/>
        <w:rPr>
          <w:b/>
          <w:color w:val="000000" w:themeColor="text1"/>
          <w:sz w:val="28"/>
          <w:szCs w:val="28"/>
        </w:rPr>
      </w:pPr>
      <w:bookmarkStart w:id="35" w:name="_Toc238907016"/>
      <w:r>
        <w:rPr>
          <w:rFonts w:hint="eastAsia"/>
          <w:b/>
          <w:color w:val="000000" w:themeColor="text1"/>
          <w:sz w:val="28"/>
          <w:szCs w:val="28"/>
        </w:rPr>
        <w:t>13．</w:t>
      </w:r>
      <w:bookmarkEnd w:id="35"/>
      <w:r>
        <w:rPr>
          <w:rFonts w:hint="eastAsia"/>
          <w:b/>
          <w:color w:val="000000" w:themeColor="text1"/>
          <w:sz w:val="28"/>
          <w:szCs w:val="28"/>
        </w:rPr>
        <w:t>响应保证金</w:t>
      </w:r>
    </w:p>
    <w:p>
      <w:pPr>
        <w:spacing w:line="500" w:lineRule="exact"/>
        <w:ind w:left="479" w:leftChars="228"/>
        <w:rPr>
          <w:rFonts w:ascii="宋体" w:hAnsi="宋体"/>
          <w:b/>
          <w:color w:val="000000" w:themeColor="text1"/>
          <w:sz w:val="24"/>
          <w:szCs w:val="24"/>
          <w:u w:val="single"/>
        </w:rPr>
      </w:pPr>
      <w:r>
        <w:rPr>
          <w:rFonts w:hint="eastAsia" w:ascii="宋体" w:hAnsi="宋体"/>
          <w:color w:val="000000" w:themeColor="text1"/>
          <w:sz w:val="24"/>
          <w:szCs w:val="24"/>
        </w:rPr>
        <w:t xml:space="preserve"> 响应参加本项目无需缴纳保证金。</w:t>
      </w:r>
    </w:p>
    <w:p>
      <w:pPr>
        <w:spacing w:line="500" w:lineRule="exact"/>
        <w:rPr>
          <w:b/>
          <w:color w:val="000000" w:themeColor="text1"/>
          <w:sz w:val="28"/>
          <w:szCs w:val="28"/>
        </w:rPr>
      </w:pPr>
      <w:bookmarkStart w:id="36" w:name="_Toc238907017"/>
      <w:r>
        <w:rPr>
          <w:rFonts w:hint="eastAsia"/>
          <w:b/>
          <w:color w:val="000000" w:themeColor="text1"/>
          <w:sz w:val="28"/>
          <w:szCs w:val="28"/>
        </w:rPr>
        <w:t>14．</w:t>
      </w:r>
      <w:bookmarkEnd w:id="36"/>
      <w:r>
        <w:rPr>
          <w:rFonts w:hint="eastAsia"/>
          <w:b/>
          <w:color w:val="000000" w:themeColor="text1"/>
          <w:sz w:val="28"/>
          <w:szCs w:val="28"/>
        </w:rPr>
        <w:t>响应有效期</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 xml:space="preserve">14.l </w:t>
      </w:r>
      <w:r>
        <w:rPr>
          <w:rFonts w:hint="eastAsia" w:ascii="宋体" w:hAnsi="宋体"/>
          <w:b/>
          <w:color w:val="000000" w:themeColor="text1"/>
          <w:sz w:val="24"/>
          <w:szCs w:val="24"/>
        </w:rPr>
        <w:t>响应有效期为从谈判截止之日起计算的</w:t>
      </w:r>
      <w:r>
        <w:rPr>
          <w:rFonts w:hint="eastAsia" w:ascii="宋体" w:hAnsi="宋体"/>
          <w:b/>
          <w:color w:val="000000" w:themeColor="text1"/>
          <w:sz w:val="24"/>
          <w:szCs w:val="24"/>
          <w:u w:val="single"/>
        </w:rPr>
        <w:t>3</w:t>
      </w:r>
      <w:r>
        <w:rPr>
          <w:rFonts w:ascii="宋体" w:hAnsi="宋体"/>
          <w:b/>
          <w:color w:val="000000" w:themeColor="text1"/>
          <w:sz w:val="24"/>
          <w:szCs w:val="24"/>
          <w:u w:val="single"/>
        </w:rPr>
        <w:t>0</w:t>
      </w:r>
      <w:r>
        <w:rPr>
          <w:rFonts w:hint="eastAsia" w:ascii="宋体" w:hAnsi="宋体"/>
          <w:b/>
          <w:color w:val="000000" w:themeColor="text1"/>
          <w:sz w:val="24"/>
          <w:szCs w:val="24"/>
          <w:u w:val="single"/>
        </w:rPr>
        <w:t>日历天</w:t>
      </w:r>
      <w:r>
        <w:rPr>
          <w:rFonts w:hint="eastAsia" w:ascii="宋体" w:hAnsi="宋体"/>
          <w:color w:val="000000" w:themeColor="text1"/>
          <w:sz w:val="24"/>
          <w:szCs w:val="24"/>
        </w:rPr>
        <w:t>，有效期短于此规定的响应文件将被视为无效。</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pPr>
        <w:spacing w:line="500" w:lineRule="exact"/>
        <w:rPr>
          <w:b/>
          <w:color w:val="000000" w:themeColor="text1"/>
          <w:sz w:val="28"/>
          <w:szCs w:val="28"/>
        </w:rPr>
      </w:pPr>
      <w:bookmarkStart w:id="37" w:name="_Toc238907018"/>
      <w:r>
        <w:rPr>
          <w:rFonts w:hint="eastAsia"/>
          <w:b/>
          <w:color w:val="000000" w:themeColor="text1"/>
          <w:sz w:val="28"/>
          <w:szCs w:val="28"/>
        </w:rPr>
        <w:t>15．响应文件的数量、签署及形式</w:t>
      </w:r>
      <w:bookmarkEnd w:id="37"/>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15.1 响应文件一式</w:t>
      </w:r>
      <w:r>
        <w:rPr>
          <w:rFonts w:hint="eastAsia" w:ascii="宋体" w:hAnsi="宋体"/>
          <w:color w:val="000000" w:themeColor="text1"/>
          <w:sz w:val="24"/>
          <w:szCs w:val="24"/>
          <w:u w:val="single"/>
        </w:rPr>
        <w:t>叁</w:t>
      </w:r>
      <w:r>
        <w:rPr>
          <w:rFonts w:hint="eastAsia" w:ascii="宋体" w:hAnsi="宋体"/>
          <w:color w:val="000000" w:themeColor="text1"/>
          <w:sz w:val="24"/>
          <w:szCs w:val="24"/>
        </w:rPr>
        <w:t>份，其中正本壹份、副本</w:t>
      </w:r>
      <w:r>
        <w:rPr>
          <w:rFonts w:hint="eastAsia" w:ascii="宋体" w:hAnsi="宋体"/>
          <w:color w:val="000000" w:themeColor="text1"/>
          <w:sz w:val="24"/>
          <w:szCs w:val="24"/>
          <w:u w:val="single"/>
        </w:rPr>
        <w:t>贰</w:t>
      </w:r>
      <w:r>
        <w:rPr>
          <w:rFonts w:hint="eastAsia" w:ascii="宋体" w:hAnsi="宋体"/>
          <w:color w:val="000000" w:themeColor="text1"/>
          <w:sz w:val="24"/>
          <w:szCs w:val="24"/>
        </w:rPr>
        <w:t>份。响应文件的正本与副本应采用左侧方式固定胶装,不得采用活页夹等可随时拆换的方式装订。每份响应文件均在封面上清楚标明“正本”或“副本”字样。“正本”和“副本”之间如有差异，以正本为准。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15.3 响应文件如有错误必须修改时，修改处须由法人代表或授权代表签名或加盖公章。</w:t>
      </w:r>
      <w:bookmarkStart w:id="38" w:name="_Toc238907019"/>
      <w:bookmarkStart w:id="39" w:name="_Toc413606687"/>
    </w:p>
    <w:p>
      <w:pPr>
        <w:pStyle w:val="288"/>
        <w:spacing w:before="156" w:after="156"/>
        <w:outlineLvl w:val="1"/>
        <w:rPr>
          <w:color w:val="000000" w:themeColor="text1"/>
        </w:rPr>
      </w:pPr>
      <w:bookmarkStart w:id="40" w:name="_Toc500352178"/>
      <w:bookmarkStart w:id="41" w:name="_Toc116920193"/>
      <w:r>
        <w:rPr>
          <w:rFonts w:hint="eastAsia"/>
          <w:color w:val="000000" w:themeColor="text1"/>
        </w:rPr>
        <w:t>四、</w:t>
      </w:r>
      <w:bookmarkEnd w:id="38"/>
      <w:r>
        <w:rPr>
          <w:rFonts w:hint="eastAsia"/>
          <w:color w:val="000000" w:themeColor="text1"/>
        </w:rPr>
        <w:t>响应文件的递交</w:t>
      </w:r>
      <w:bookmarkEnd w:id="39"/>
      <w:bookmarkEnd w:id="40"/>
      <w:bookmarkEnd w:id="41"/>
    </w:p>
    <w:p>
      <w:pPr>
        <w:spacing w:line="500" w:lineRule="exact"/>
        <w:rPr>
          <w:b/>
          <w:color w:val="000000" w:themeColor="text1"/>
          <w:sz w:val="28"/>
          <w:szCs w:val="28"/>
        </w:rPr>
      </w:pPr>
      <w:bookmarkStart w:id="42" w:name="_Toc238907020"/>
      <w:r>
        <w:rPr>
          <w:rFonts w:hint="eastAsia"/>
          <w:b/>
          <w:color w:val="000000" w:themeColor="text1"/>
          <w:sz w:val="28"/>
          <w:szCs w:val="28"/>
        </w:rPr>
        <w:t>16．</w:t>
      </w:r>
      <w:bookmarkEnd w:id="42"/>
      <w:r>
        <w:rPr>
          <w:rFonts w:hint="eastAsia"/>
          <w:b/>
          <w:color w:val="000000" w:themeColor="text1"/>
          <w:sz w:val="28"/>
          <w:szCs w:val="28"/>
        </w:rPr>
        <w:t>响应文件的密封及标记</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16.l 供应商应将响应文件密封在响应专用袋（箱）中</w:t>
      </w:r>
      <w:r>
        <w:rPr>
          <w:rFonts w:hint="eastAsia" w:ascii="宋体" w:hAnsi="宋体" w:cs="宋体"/>
          <w:color w:val="000000" w:themeColor="text1"/>
          <w:kern w:val="2"/>
          <w:sz w:val="24"/>
          <w:szCs w:val="24"/>
          <w:lang w:val="en-GB"/>
        </w:rPr>
        <w:t>，</w:t>
      </w:r>
      <w:r>
        <w:rPr>
          <w:rFonts w:hint="eastAsia" w:ascii="宋体" w:hAnsi="宋体"/>
          <w:color w:val="000000" w:themeColor="text1"/>
          <w:sz w:val="24"/>
          <w:szCs w:val="24"/>
        </w:rPr>
        <w:t>封口处应加盖骑缝章。</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16.2 响应专用袋（箱）上须按海南省技师学院基建设备项目管理部提供的格式注明：</w:t>
      </w:r>
    </w:p>
    <w:p>
      <w:pPr>
        <w:spacing w:line="500" w:lineRule="exact"/>
        <w:rPr>
          <w:rFonts w:ascii="宋体" w:hAnsi="宋体"/>
          <w:b/>
          <w:bCs/>
          <w:color w:val="FF0000"/>
          <w:sz w:val="24"/>
          <w:szCs w:val="24"/>
        </w:rPr>
      </w:pPr>
      <w:r>
        <w:rPr>
          <w:rFonts w:hint="eastAsia" w:ascii="宋体" w:hAnsi="宋体"/>
          <w:color w:val="000000" w:themeColor="text1"/>
          <w:sz w:val="24"/>
          <w:szCs w:val="24"/>
        </w:rPr>
        <w:t xml:space="preserve">    </w:t>
      </w:r>
      <w:r>
        <w:rPr>
          <w:rFonts w:hint="eastAsia" w:ascii="宋体" w:hAnsi="宋体"/>
          <w:b/>
          <w:bCs/>
          <w:color w:val="FF0000"/>
          <w:sz w:val="24"/>
          <w:szCs w:val="24"/>
        </w:rPr>
        <w:t>（l）项目编号及项目名称；</w:t>
      </w:r>
    </w:p>
    <w:p>
      <w:pPr>
        <w:spacing w:line="500" w:lineRule="exact"/>
        <w:rPr>
          <w:rFonts w:ascii="宋体" w:hAnsi="宋体"/>
          <w:b/>
          <w:bCs/>
          <w:color w:val="FF0000"/>
          <w:sz w:val="24"/>
          <w:szCs w:val="24"/>
        </w:rPr>
      </w:pPr>
      <w:r>
        <w:rPr>
          <w:rFonts w:hint="eastAsia" w:ascii="宋体" w:hAnsi="宋体"/>
          <w:b/>
          <w:bCs/>
          <w:color w:val="FF0000"/>
          <w:sz w:val="24"/>
          <w:szCs w:val="24"/>
        </w:rPr>
        <w:t xml:space="preserve">    （2）分包号（如有的话）；</w:t>
      </w:r>
    </w:p>
    <w:p>
      <w:pPr>
        <w:spacing w:line="500" w:lineRule="exact"/>
        <w:ind w:firstLine="480"/>
        <w:rPr>
          <w:rFonts w:ascii="宋体" w:hAnsi="宋体"/>
          <w:b/>
          <w:bCs/>
          <w:color w:val="FF0000"/>
          <w:sz w:val="24"/>
          <w:szCs w:val="24"/>
        </w:rPr>
      </w:pPr>
      <w:r>
        <w:rPr>
          <w:rFonts w:hint="eastAsia" w:ascii="宋体" w:hAnsi="宋体"/>
          <w:b/>
          <w:bCs/>
          <w:color w:val="FF0000"/>
          <w:sz w:val="24"/>
          <w:szCs w:val="24"/>
        </w:rPr>
        <w:t>（3）供应商的名称、联系人姓名和电话；</w:t>
      </w:r>
    </w:p>
    <w:p>
      <w:pPr>
        <w:spacing w:line="500" w:lineRule="exact"/>
        <w:ind w:firstLine="964" w:firstLineChars="400"/>
        <w:rPr>
          <w:rFonts w:ascii="宋体" w:hAnsi="宋体"/>
          <w:b/>
          <w:bCs/>
          <w:color w:val="FF0000"/>
          <w:sz w:val="24"/>
          <w:szCs w:val="24"/>
        </w:rPr>
      </w:pPr>
      <w:r>
        <w:rPr>
          <w:rFonts w:hint="eastAsia" w:ascii="宋体" w:hAnsi="宋体"/>
          <w:b/>
          <w:bCs/>
          <w:color w:val="FF0000"/>
          <w:sz w:val="24"/>
          <w:szCs w:val="24"/>
        </w:rPr>
        <w:t>注明：“谈判前不得启封”字样；</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16.3 响应文件未按第 16.l和 16.2条规定书写标记和密封者，海南省技师学院基建设备项目管理部不对响应文件被错放或先期启封负责。</w:t>
      </w:r>
    </w:p>
    <w:p>
      <w:pPr>
        <w:spacing w:line="500" w:lineRule="exact"/>
        <w:rPr>
          <w:b/>
          <w:color w:val="000000" w:themeColor="text1"/>
          <w:sz w:val="28"/>
          <w:szCs w:val="28"/>
        </w:rPr>
      </w:pPr>
      <w:bookmarkStart w:id="43" w:name="_Toc238907021"/>
      <w:r>
        <w:rPr>
          <w:rFonts w:hint="eastAsia"/>
          <w:b/>
          <w:color w:val="000000" w:themeColor="text1"/>
          <w:sz w:val="28"/>
          <w:szCs w:val="28"/>
        </w:rPr>
        <w:t>17．响应截止时间</w:t>
      </w:r>
      <w:bookmarkEnd w:id="43"/>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17.l 供应商须在响应文件第一部分规定的响应截止时间前将响应文件送达海南省技师学院基建设备项目管理部规定的响应地点。</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pPr>
        <w:spacing w:line="500" w:lineRule="exact"/>
        <w:rPr>
          <w:b/>
          <w:color w:val="000000" w:themeColor="text1"/>
          <w:sz w:val="28"/>
          <w:szCs w:val="28"/>
        </w:rPr>
      </w:pPr>
      <w:bookmarkStart w:id="44" w:name="_Toc238907022"/>
      <w:r>
        <w:rPr>
          <w:rFonts w:hint="eastAsia"/>
          <w:b/>
          <w:color w:val="000000" w:themeColor="text1"/>
          <w:sz w:val="28"/>
          <w:szCs w:val="28"/>
        </w:rPr>
        <w:t>18．</w:t>
      </w:r>
      <w:bookmarkEnd w:id="44"/>
      <w:r>
        <w:rPr>
          <w:rFonts w:hint="eastAsia"/>
          <w:b/>
          <w:color w:val="000000" w:themeColor="text1"/>
          <w:sz w:val="28"/>
          <w:szCs w:val="28"/>
        </w:rPr>
        <w:t>迟交的响应文件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18.1 在响应截止时间后递交的响应文件，学院基建设备项目管理部将拒绝接受。</w:t>
      </w:r>
    </w:p>
    <w:p>
      <w:pPr>
        <w:spacing w:line="500" w:lineRule="exact"/>
        <w:rPr>
          <w:b/>
          <w:color w:val="000000" w:themeColor="text1"/>
          <w:sz w:val="28"/>
          <w:szCs w:val="28"/>
        </w:rPr>
      </w:pPr>
      <w:bookmarkStart w:id="45" w:name="_Toc238907023"/>
      <w:r>
        <w:rPr>
          <w:rFonts w:hint="eastAsia"/>
          <w:b/>
          <w:color w:val="000000" w:themeColor="text1"/>
          <w:sz w:val="28"/>
          <w:szCs w:val="28"/>
        </w:rPr>
        <w:t>19．</w:t>
      </w:r>
      <w:bookmarkEnd w:id="45"/>
      <w:r>
        <w:rPr>
          <w:rFonts w:hint="eastAsia"/>
          <w:b/>
          <w:color w:val="000000" w:themeColor="text1"/>
          <w:sz w:val="28"/>
          <w:szCs w:val="28"/>
        </w:rPr>
        <w:t>响应文件的修改和撤回</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19.3 供应商不得在响应截止时间以后修改响应文件。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19.4 供应商不得在响应截止时间起至响应有效期满前撤回响应文件，否则视为自动弃权。</w:t>
      </w:r>
    </w:p>
    <w:p>
      <w:pPr>
        <w:pStyle w:val="288"/>
        <w:spacing w:before="156" w:after="156"/>
        <w:outlineLvl w:val="1"/>
        <w:rPr>
          <w:color w:val="000000" w:themeColor="text1"/>
        </w:rPr>
      </w:pPr>
      <w:bookmarkStart w:id="46" w:name="_Toc238907024"/>
      <w:bookmarkStart w:id="47" w:name="_Toc116920194"/>
      <w:bookmarkStart w:id="48" w:name="_Toc500352179"/>
      <w:bookmarkStart w:id="49" w:name="_Toc413606688"/>
      <w:r>
        <w:rPr>
          <w:rFonts w:hint="eastAsia"/>
          <w:color w:val="000000" w:themeColor="text1"/>
        </w:rPr>
        <w:t>五、</w:t>
      </w:r>
      <w:bookmarkEnd w:id="46"/>
      <w:r>
        <w:rPr>
          <w:rFonts w:hint="eastAsia"/>
          <w:color w:val="000000" w:themeColor="text1"/>
        </w:rPr>
        <w:t>响应及谈判</w:t>
      </w:r>
      <w:bookmarkEnd w:id="47"/>
      <w:bookmarkEnd w:id="48"/>
      <w:bookmarkEnd w:id="49"/>
    </w:p>
    <w:p>
      <w:pPr>
        <w:spacing w:line="500" w:lineRule="exact"/>
        <w:rPr>
          <w:b/>
          <w:color w:val="000000" w:themeColor="text1"/>
          <w:sz w:val="28"/>
          <w:szCs w:val="28"/>
        </w:rPr>
      </w:pPr>
      <w:bookmarkStart w:id="50" w:name="_Toc238907025"/>
      <w:r>
        <w:rPr>
          <w:rFonts w:hint="eastAsia"/>
          <w:b/>
          <w:color w:val="000000" w:themeColor="text1"/>
          <w:sz w:val="28"/>
          <w:szCs w:val="28"/>
        </w:rPr>
        <w:t>20．</w:t>
      </w:r>
      <w:bookmarkEnd w:id="50"/>
      <w:r>
        <w:rPr>
          <w:rFonts w:hint="eastAsia"/>
          <w:b/>
          <w:color w:val="000000" w:themeColor="text1"/>
          <w:sz w:val="28"/>
          <w:szCs w:val="28"/>
        </w:rPr>
        <w:t>谈判</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20.4 若响应文件未密封，海南省技师学院基建设备项目管理部将拒绝接受该供应商的响应文件。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20.5 按照第19条规定，同意撤回的响应文件将不予拆封。</w:t>
      </w:r>
    </w:p>
    <w:p>
      <w:pPr>
        <w:spacing w:line="500" w:lineRule="exact"/>
        <w:rPr>
          <w:b/>
          <w:color w:val="000000" w:themeColor="text1"/>
          <w:sz w:val="28"/>
          <w:szCs w:val="28"/>
        </w:rPr>
      </w:pPr>
      <w:bookmarkStart w:id="51" w:name="_Toc238907026"/>
      <w:r>
        <w:rPr>
          <w:rFonts w:hint="eastAsia"/>
          <w:b/>
          <w:color w:val="000000" w:themeColor="text1"/>
          <w:sz w:val="28"/>
          <w:szCs w:val="28"/>
        </w:rPr>
        <w:t>21．</w:t>
      </w:r>
      <w:bookmarkEnd w:id="51"/>
      <w:r>
        <w:rPr>
          <w:rFonts w:hint="eastAsia"/>
          <w:b/>
          <w:color w:val="000000" w:themeColor="text1"/>
          <w:sz w:val="28"/>
          <w:szCs w:val="28"/>
        </w:rPr>
        <w:t>谈判小组</w:t>
      </w:r>
    </w:p>
    <w:p>
      <w:pPr>
        <w:spacing w:line="500" w:lineRule="exact"/>
        <w:ind w:firstLine="480" w:firstLineChars="200"/>
        <w:rPr>
          <w:rFonts w:ascii="宋体" w:hAnsi="宋体"/>
          <w:color w:val="000000" w:themeColor="text1"/>
          <w:sz w:val="24"/>
          <w:szCs w:val="24"/>
        </w:rPr>
      </w:pPr>
      <w:bookmarkStart w:id="52" w:name="_Toc238907027"/>
      <w:r>
        <w:rPr>
          <w:rFonts w:hint="eastAsia" w:ascii="宋体" w:hAnsi="宋体"/>
          <w:color w:val="000000" w:themeColor="text1"/>
          <w:sz w:val="24"/>
          <w:szCs w:val="24"/>
        </w:rPr>
        <w:t>21.按照海南省技师学院采购管理规定，基建部从校内随机抽取</w:t>
      </w:r>
      <w:r>
        <w:rPr>
          <w:rFonts w:hint="eastAsia" w:ascii="宋体" w:hAnsi="宋体"/>
          <w:color w:val="000000" w:themeColor="text1"/>
          <w:sz w:val="24"/>
          <w:szCs w:val="24"/>
          <w:u w:val="single"/>
        </w:rPr>
        <w:t>叁</w:t>
      </w:r>
      <w:r>
        <w:rPr>
          <w:rFonts w:hint="eastAsia" w:ascii="宋体" w:hAnsi="宋体"/>
          <w:color w:val="000000" w:themeColor="text1"/>
          <w:sz w:val="24"/>
          <w:szCs w:val="24"/>
        </w:rPr>
        <w:t>名教师代表</w:t>
      </w:r>
      <w:r>
        <w:rPr>
          <w:rFonts w:hint="eastAsia" w:ascii="宋体" w:hAnsi="宋体"/>
          <w:color w:val="000000" w:themeColor="text1"/>
          <w:sz w:val="24"/>
        </w:rPr>
        <w:t>组成谈判小组</w:t>
      </w:r>
      <w:r>
        <w:rPr>
          <w:rFonts w:hint="eastAsia" w:ascii="宋体" w:hAnsi="宋体"/>
          <w:color w:val="000000" w:themeColor="text1"/>
          <w:sz w:val="24"/>
          <w:szCs w:val="24"/>
        </w:rPr>
        <w:t>，该谈判小组独立工作，负责谈判所有响应文件并确定成交候选供应商。</w:t>
      </w:r>
    </w:p>
    <w:p>
      <w:pPr>
        <w:spacing w:line="500" w:lineRule="exact"/>
        <w:rPr>
          <w:b/>
          <w:color w:val="000000" w:themeColor="text1"/>
          <w:sz w:val="28"/>
          <w:szCs w:val="28"/>
        </w:rPr>
      </w:pPr>
      <w:r>
        <w:rPr>
          <w:rFonts w:hint="eastAsia"/>
          <w:b/>
          <w:color w:val="000000" w:themeColor="text1"/>
          <w:sz w:val="28"/>
          <w:szCs w:val="28"/>
        </w:rPr>
        <w:t>22．</w:t>
      </w:r>
      <w:bookmarkEnd w:id="52"/>
      <w:r>
        <w:rPr>
          <w:rFonts w:hint="eastAsia"/>
          <w:b/>
          <w:color w:val="000000" w:themeColor="text1"/>
          <w:sz w:val="28"/>
          <w:szCs w:val="28"/>
        </w:rPr>
        <w:t>对响应文件的符合性审查</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22.l符合性审查的内容包括： 详见符合性审查表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符合性审查的内容只要有一条不满足，则响应文件无效。</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22．2.1 判断响应文件的响应与否只根据响应文件本身，而不寻求外部证据。</w:t>
      </w:r>
    </w:p>
    <w:p>
      <w:pPr>
        <w:spacing w:line="360" w:lineRule="auto"/>
        <w:ind w:firstLine="480" w:firstLineChars="200"/>
        <w:rPr>
          <w:color w:val="000000" w:themeColor="text1"/>
          <w:sz w:val="24"/>
        </w:rPr>
      </w:pPr>
      <w:r>
        <w:rPr>
          <w:rFonts w:hint="eastAsia" w:ascii="宋体" w:hAnsi="宋体"/>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 谈判小组在初审中，对算术错误的修正原则如下:</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22.3.l报价一览表内容与响应文件中明细表内容不一致的，以报价一览表为准；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22.3.2 响应文件的大写金额和小写金额不一致的，以大写金额为准；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22.3.3 总价金额与按单价汇总金额不一致的，以单价金额计算结果为准；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22.3.4 单价金额小数点有明显错位的，以总价为准并修改单价。</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22.3.5 若供应商不同意以上修正，响应文件将视为无效。</w:t>
      </w:r>
    </w:p>
    <w:p>
      <w:pPr>
        <w:spacing w:line="500" w:lineRule="exact"/>
        <w:rPr>
          <w:b/>
          <w:color w:val="000000" w:themeColor="text1"/>
          <w:sz w:val="28"/>
          <w:szCs w:val="28"/>
        </w:rPr>
      </w:pPr>
      <w:bookmarkStart w:id="53" w:name="_Toc238907028"/>
      <w:r>
        <w:rPr>
          <w:rFonts w:hint="eastAsia"/>
          <w:b/>
          <w:color w:val="000000" w:themeColor="text1"/>
          <w:sz w:val="28"/>
          <w:szCs w:val="28"/>
        </w:rPr>
        <w:t>23．</w:t>
      </w:r>
      <w:bookmarkEnd w:id="53"/>
      <w:r>
        <w:rPr>
          <w:rFonts w:hint="eastAsia"/>
          <w:b/>
          <w:color w:val="000000" w:themeColor="text1"/>
          <w:sz w:val="28"/>
          <w:szCs w:val="28"/>
        </w:rPr>
        <w:t>响应文件的澄清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23.3供应商不按谈判小组规定的时间和地点作书面澄清，将视为放弃该权利。</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23.4 并非每个供应商都将被询标。</w:t>
      </w:r>
    </w:p>
    <w:p>
      <w:pPr>
        <w:spacing w:line="500" w:lineRule="exact"/>
        <w:rPr>
          <w:b/>
          <w:color w:val="000000" w:themeColor="text1"/>
          <w:sz w:val="28"/>
          <w:szCs w:val="28"/>
        </w:rPr>
      </w:pPr>
      <w:bookmarkStart w:id="54" w:name="_Toc238907029"/>
      <w:r>
        <w:rPr>
          <w:rFonts w:hint="eastAsia"/>
          <w:b/>
          <w:color w:val="000000" w:themeColor="text1"/>
          <w:sz w:val="28"/>
          <w:szCs w:val="28"/>
        </w:rPr>
        <w:t>24．谈判及确定成交候选供应商</w:t>
      </w:r>
      <w:bookmarkEnd w:id="54"/>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24.1 谈判小组分别对通过资格性审查和符合性审查的响应文件进行评价和比较。</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pPr>
        <w:spacing w:line="500" w:lineRule="exact"/>
        <w:rPr>
          <w:b/>
          <w:color w:val="000000" w:themeColor="text1"/>
          <w:sz w:val="28"/>
          <w:szCs w:val="28"/>
        </w:rPr>
      </w:pPr>
      <w:bookmarkStart w:id="55" w:name="_Toc238907030"/>
      <w:r>
        <w:rPr>
          <w:rFonts w:hint="eastAsia"/>
          <w:b/>
          <w:color w:val="000000" w:themeColor="text1"/>
          <w:sz w:val="28"/>
          <w:szCs w:val="28"/>
        </w:rPr>
        <w:t>25．</w:t>
      </w:r>
      <w:bookmarkEnd w:id="55"/>
      <w:r>
        <w:rPr>
          <w:rFonts w:hint="eastAsia"/>
          <w:b/>
          <w:color w:val="000000" w:themeColor="text1"/>
          <w:sz w:val="28"/>
          <w:szCs w:val="28"/>
        </w:rPr>
        <w:t>谈判过程保密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25.l 在宣布谈判结果之前，凡属于审查、澄清、评价、比较响应文件和谈判意向等有关信息，相关当事人均不得泄露给任何供应商或与谈判工作无关的人员。</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25.2 供应商不得探听上述信息，不得以任何行为影响谈判过程，否则其响应文件将被作为无效响应文件。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25.3 在谈判期间，海南省技师学院基建设备项目管理部将有专门人员与供应商进行联络。</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25.4 海南省技师学院基建设备项目管理部和谈判小组不向未成交的供应商解释原因，也不对谈判过程中的细节问题进行公布。</w:t>
      </w:r>
    </w:p>
    <w:p>
      <w:pPr>
        <w:pStyle w:val="288"/>
        <w:spacing w:before="156" w:after="156"/>
        <w:outlineLvl w:val="1"/>
        <w:rPr>
          <w:color w:val="000000" w:themeColor="text1"/>
        </w:rPr>
      </w:pPr>
      <w:bookmarkStart w:id="56" w:name="_Toc238907031"/>
      <w:bookmarkStart w:id="57" w:name="_Toc413606689"/>
      <w:bookmarkStart w:id="58" w:name="_Toc116920195"/>
      <w:bookmarkStart w:id="59" w:name="_Toc500352180"/>
      <w:r>
        <w:rPr>
          <w:rFonts w:hint="eastAsia"/>
          <w:color w:val="000000" w:themeColor="text1"/>
        </w:rPr>
        <w:t>六、</w:t>
      </w:r>
      <w:bookmarkEnd w:id="56"/>
      <w:r>
        <w:rPr>
          <w:rFonts w:hint="eastAsia"/>
          <w:color w:val="000000" w:themeColor="text1"/>
        </w:rPr>
        <w:t>成交供应商及签约</w:t>
      </w:r>
      <w:bookmarkEnd w:id="57"/>
      <w:bookmarkEnd w:id="58"/>
      <w:bookmarkEnd w:id="59"/>
    </w:p>
    <w:p>
      <w:pPr>
        <w:spacing w:line="500" w:lineRule="exact"/>
        <w:rPr>
          <w:b/>
          <w:color w:val="000000" w:themeColor="text1"/>
          <w:sz w:val="28"/>
          <w:szCs w:val="28"/>
        </w:rPr>
      </w:pPr>
      <w:bookmarkStart w:id="60" w:name="_Toc238907032"/>
      <w:r>
        <w:rPr>
          <w:rFonts w:hint="eastAsia"/>
          <w:b/>
          <w:color w:val="000000" w:themeColor="text1"/>
          <w:sz w:val="28"/>
          <w:szCs w:val="28"/>
        </w:rPr>
        <w:t>26．确定成交候选供应商原则</w:t>
      </w:r>
      <w:bookmarkEnd w:id="60"/>
    </w:p>
    <w:p>
      <w:pPr>
        <w:spacing w:line="500" w:lineRule="exact"/>
        <w:ind w:firstLine="480" w:firstLineChars="200"/>
        <w:rPr>
          <w:rFonts w:ascii="宋体" w:hAnsi="宋体"/>
          <w:color w:val="000000" w:themeColor="text1"/>
          <w:sz w:val="24"/>
        </w:rPr>
      </w:pPr>
      <w:r>
        <w:rPr>
          <w:rFonts w:hint="eastAsia"/>
          <w:color w:val="000000" w:themeColor="text1"/>
          <w:sz w:val="24"/>
          <w:szCs w:val="24"/>
        </w:rPr>
        <w:t>谈判小组将严格按照竞争性谈判文件的要求和条件进行谈判,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pPr>
        <w:numPr>
          <w:ins w:id="0" w:author="雨林木风" w:date="2013-09-21T14:36:00Z"/>
        </w:numPr>
        <w:spacing w:line="500" w:lineRule="exact"/>
        <w:rPr>
          <w:b/>
          <w:color w:val="000000" w:themeColor="text1"/>
          <w:sz w:val="28"/>
          <w:szCs w:val="28"/>
        </w:rPr>
      </w:pPr>
      <w:r>
        <w:rPr>
          <w:rFonts w:hint="eastAsia"/>
          <w:b/>
          <w:color w:val="000000" w:themeColor="text1"/>
          <w:sz w:val="28"/>
          <w:szCs w:val="28"/>
        </w:rPr>
        <w:t>27. 质疑处理</w:t>
      </w:r>
    </w:p>
    <w:p>
      <w:pPr>
        <w:numPr>
          <w:ins w:id="1"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pPr>
        <w:numPr>
          <w:ins w:id="2" w:author="雨林木风" w:date="2013-09-21T14:36:00Z"/>
        </w:numPr>
        <w:spacing w:line="500" w:lineRule="exact"/>
        <w:rPr>
          <w:b/>
          <w:color w:val="000000" w:themeColor="text1"/>
          <w:sz w:val="28"/>
          <w:szCs w:val="28"/>
        </w:rPr>
      </w:pPr>
      <w:r>
        <w:rPr>
          <w:rFonts w:hint="eastAsia"/>
          <w:b/>
          <w:color w:val="000000" w:themeColor="text1"/>
          <w:sz w:val="28"/>
          <w:szCs w:val="28"/>
        </w:rPr>
        <w:t>28．</w:t>
      </w:r>
      <w:r>
        <w:rPr>
          <w:rFonts w:hint="eastAsia" w:ascii="宋体" w:hAnsi="宋体"/>
          <w:b/>
          <w:color w:val="000000" w:themeColor="text1"/>
          <w:sz w:val="28"/>
          <w:szCs w:val="28"/>
        </w:rPr>
        <w:t>成交</w:t>
      </w:r>
      <w:r>
        <w:rPr>
          <w:rFonts w:hint="eastAsia"/>
          <w:b/>
          <w:color w:val="000000" w:themeColor="text1"/>
          <w:sz w:val="28"/>
          <w:szCs w:val="28"/>
        </w:rPr>
        <w:t>通知</w:t>
      </w:r>
    </w:p>
    <w:p>
      <w:pPr>
        <w:numPr>
          <w:ins w:id="3"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28.l 确定成交供应商后,海南省技师学院基建设备项目管理部通过校内公示将结果通知所有的供应商，并向成交供应商发出成交通知书。</w:t>
      </w:r>
    </w:p>
    <w:p>
      <w:pPr>
        <w:numPr>
          <w:ins w:id="4"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28.2  成交供应商收到成交通知书后，即可联系海南省技师学院基建设备项目管理部，准备合同事宜。</w:t>
      </w:r>
    </w:p>
    <w:p>
      <w:pPr>
        <w:numPr>
          <w:ins w:id="5"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28.3 成交通知书将是合同的一个组成部分。</w:t>
      </w:r>
    </w:p>
    <w:p>
      <w:pPr>
        <w:numPr>
          <w:ins w:id="6" w:author="雨林木风" w:date="2013-09-21T14:36:00Z"/>
        </w:numPr>
        <w:spacing w:line="500" w:lineRule="exact"/>
        <w:rPr>
          <w:b/>
          <w:color w:val="000000" w:themeColor="text1"/>
          <w:sz w:val="28"/>
          <w:szCs w:val="28"/>
        </w:rPr>
      </w:pPr>
      <w:r>
        <w:rPr>
          <w:rFonts w:hint="eastAsia"/>
          <w:b/>
          <w:color w:val="000000" w:themeColor="text1"/>
          <w:sz w:val="28"/>
          <w:szCs w:val="28"/>
        </w:rPr>
        <w:t>29．签订合同</w:t>
      </w:r>
    </w:p>
    <w:p>
      <w:pPr>
        <w:numPr>
          <w:ins w:id="7"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pPr>
        <w:numPr>
          <w:ins w:id="8"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29.2 竞争性谈判文件、成交供应商的响应谈判文件及谈判过程中有关澄清文件均应作为合同附件。</w:t>
      </w:r>
    </w:p>
    <w:p>
      <w:pPr>
        <w:spacing w:line="500" w:lineRule="exact"/>
        <w:ind w:firstLine="480" w:firstLineChars="200"/>
        <w:rPr>
          <w:color w:val="000000" w:themeColor="text1"/>
          <w:sz w:val="24"/>
          <w:szCs w:val="24"/>
        </w:rPr>
      </w:pPr>
      <w:r>
        <w:rPr>
          <w:rFonts w:hint="eastAsia"/>
          <w:color w:val="000000" w:themeColor="text1"/>
          <w:sz w:val="24"/>
          <w:szCs w:val="24"/>
        </w:rPr>
        <w:t>29.3 签订合同后，未经采购人同意，成交供应商不得采用分包、转包的形式履行合同。否则采购人有权终止合同。转包或分包造成采购人损失的，成交供应商还应承担相应赔偿责任。</w:t>
      </w:r>
    </w:p>
    <w:p>
      <w:pPr>
        <w:spacing w:line="500" w:lineRule="exact"/>
        <w:rPr>
          <w:b/>
          <w:color w:val="000000" w:themeColor="text1"/>
          <w:sz w:val="28"/>
          <w:szCs w:val="28"/>
        </w:rPr>
        <w:sectPr>
          <w:footerReference r:id="rId3" w:type="default"/>
          <w:pgSz w:w="11906" w:h="16838"/>
          <w:pgMar w:top="1440" w:right="1133" w:bottom="779" w:left="1418" w:header="851" w:footer="992" w:gutter="0"/>
          <w:pgNumType w:start="0"/>
          <w:cols w:space="720" w:num="1"/>
          <w:titlePg/>
          <w:docGrid w:type="lines" w:linePitch="312" w:charSpace="0"/>
        </w:sectPr>
      </w:pPr>
    </w:p>
    <w:p>
      <w:pPr>
        <w:spacing w:before="468" w:after="156"/>
        <w:ind w:left="7389" w:hanging="7389"/>
        <w:jc w:val="center"/>
        <w:outlineLvl w:val="0"/>
        <w:rPr>
          <w:b/>
          <w:color w:val="000000" w:themeColor="text1"/>
          <w:sz w:val="32"/>
          <w:szCs w:val="32"/>
        </w:rPr>
      </w:pPr>
      <w:bookmarkStart w:id="61" w:name="_Toc116920196"/>
      <w:bookmarkStart w:id="62" w:name="_Toc500352181"/>
      <w:bookmarkStart w:id="63" w:name="_Toc413606690"/>
      <w:bookmarkStart w:id="64" w:name="_Toc116920200"/>
      <w:bookmarkStart w:id="65" w:name="_Toc500352182"/>
      <w:bookmarkStart w:id="66" w:name="_Toc238907075"/>
      <w:bookmarkStart w:id="67" w:name="_Toc413606692"/>
      <w:bookmarkStart w:id="68" w:name="_Toc116920201"/>
      <w:bookmarkStart w:id="69" w:name="_Toc413606693"/>
      <w:bookmarkStart w:id="70" w:name="_Toc500352184"/>
      <w:bookmarkStart w:id="71" w:name="_Toc168282804"/>
      <w:bookmarkStart w:id="72" w:name="_Toc171325101"/>
      <w:r>
        <w:rPr>
          <w:rFonts w:hint="eastAsia"/>
          <w:b/>
          <w:color w:val="000000" w:themeColor="text1"/>
          <w:sz w:val="32"/>
          <w:szCs w:val="32"/>
        </w:rPr>
        <w:t>第三章用户需求书</w:t>
      </w:r>
      <w:bookmarkEnd w:id="61"/>
      <w:bookmarkEnd w:id="62"/>
      <w:bookmarkEnd w:id="63"/>
    </w:p>
    <w:p>
      <w:pPr>
        <w:ind w:left="5542" w:hanging="5542"/>
        <w:outlineLvl w:val="1"/>
        <w:rPr>
          <w:rFonts w:ascii="宋体" w:hAnsi="宋体" w:cs="宋体"/>
          <w:b/>
          <w:bCs/>
          <w:color w:val="000000" w:themeColor="text1"/>
          <w:sz w:val="24"/>
          <w:szCs w:val="24"/>
          <w:lang w:val="zh-TW"/>
        </w:rPr>
      </w:pPr>
      <w:bookmarkStart w:id="73" w:name="_Toc116920197"/>
      <w:r>
        <w:rPr>
          <w:rFonts w:hint="eastAsia" w:asciiTheme="minorEastAsia" w:hAnsiTheme="minorEastAsia" w:eastAsiaTheme="minorEastAsia"/>
          <w:b/>
          <w:color w:val="000000" w:themeColor="text1"/>
          <w:sz w:val="24"/>
          <w:szCs w:val="24"/>
        </w:rPr>
        <w:t>一、</w:t>
      </w:r>
      <w:r>
        <w:rPr>
          <w:rFonts w:asciiTheme="minorEastAsia" w:hAnsiTheme="minorEastAsia" w:eastAsiaTheme="minorEastAsia"/>
          <w:b/>
          <w:color w:val="000000" w:themeColor="text1"/>
          <w:sz w:val="24"/>
          <w:szCs w:val="24"/>
        </w:rPr>
        <w:t>项目</w:t>
      </w:r>
      <w:r>
        <w:rPr>
          <w:rFonts w:hint="eastAsia" w:asciiTheme="minorEastAsia" w:hAnsiTheme="minorEastAsia" w:eastAsiaTheme="minorEastAsia"/>
          <w:b/>
          <w:color w:val="000000" w:themeColor="text1"/>
          <w:sz w:val="24"/>
          <w:szCs w:val="24"/>
        </w:rPr>
        <w:t>概况</w:t>
      </w:r>
      <w:bookmarkEnd w:id="73"/>
      <w:bookmarkStart w:id="74" w:name="_Toc116920198"/>
    </w:p>
    <w:p>
      <w:pPr>
        <w:spacing w:line="360" w:lineRule="auto"/>
        <w:ind w:right="-61" w:rightChars="-29"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2.1、</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hint="eastAsia" w:ascii="宋体" w:hAnsi="宋体" w:cs="宋体"/>
          <w:color w:val="000000" w:themeColor="text1"/>
          <w:sz w:val="24"/>
          <w:szCs w:val="24"/>
          <w:lang w:val="zh-TW"/>
        </w:rPr>
        <w:t>智能网联汽车（智能载运技术）设备项目</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2.2、</w:t>
      </w:r>
      <w:r>
        <w:rPr>
          <w:rFonts w:ascii="宋体" w:hAnsi="宋体" w:cs="宋体"/>
          <w:color w:val="000000" w:themeColor="text1"/>
          <w:sz w:val="24"/>
          <w:szCs w:val="24"/>
        </w:rPr>
        <w:t>项目</w:t>
      </w:r>
      <w:r>
        <w:rPr>
          <w:rFonts w:hint="eastAsia" w:ascii="宋体" w:hAnsi="宋体" w:cs="宋体"/>
          <w:color w:val="000000" w:themeColor="text1"/>
          <w:sz w:val="24"/>
          <w:szCs w:val="24"/>
        </w:rPr>
        <w:t>编号：HNSJSHWFW-2024-25；</w:t>
      </w:r>
    </w:p>
    <w:p>
      <w:pPr>
        <w:spacing w:line="360" w:lineRule="auto"/>
        <w:ind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2.3、</w:t>
      </w:r>
      <w:r>
        <w:rPr>
          <w:rFonts w:ascii="宋体" w:hAnsi="宋体" w:cs="宋体"/>
          <w:color w:val="000000" w:themeColor="text1"/>
          <w:sz w:val="24"/>
          <w:szCs w:val="24"/>
        </w:rPr>
        <w:t>资金来源：</w:t>
      </w:r>
      <w:r>
        <w:rPr>
          <w:rFonts w:hint="eastAsia" w:ascii="宋体" w:hAnsi="宋体" w:cs="宋体"/>
          <w:color w:val="000000" w:themeColor="text1"/>
          <w:sz w:val="24"/>
          <w:szCs w:val="24"/>
        </w:rPr>
        <w:t>2024年就业补助资金</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2.4、</w:t>
      </w:r>
      <w:r>
        <w:rPr>
          <w:rFonts w:ascii="宋体" w:hAnsi="宋体" w:cs="宋体"/>
          <w:color w:val="000000" w:themeColor="text1"/>
          <w:sz w:val="24"/>
          <w:szCs w:val="24"/>
        </w:rPr>
        <w:t>采购预算：</w:t>
      </w:r>
      <w:r>
        <w:rPr>
          <w:rFonts w:hint="eastAsia" w:ascii="宋体" w:hAnsi="宋体" w:cs="宋体"/>
          <w:color w:val="000000" w:themeColor="text1"/>
          <w:sz w:val="24"/>
          <w:szCs w:val="24"/>
        </w:rPr>
        <w:t>41.8万元。</w:t>
      </w:r>
    </w:p>
    <w:p>
      <w:pPr>
        <w:spacing w:line="360" w:lineRule="auto"/>
        <w:ind w:firstLine="480" w:firstLineChars="200"/>
        <w:rPr>
          <w:rFonts w:ascii="宋体" w:hAnsi="宋体" w:cs="宋体"/>
          <w:bCs/>
          <w:color w:val="000000" w:themeColor="text1"/>
          <w:sz w:val="24"/>
          <w:szCs w:val="22"/>
          <w:lang w:val="en-GB"/>
        </w:rPr>
      </w:pPr>
      <w:r>
        <w:rPr>
          <w:rFonts w:ascii="宋体" w:hAnsi="宋体" w:cs="宋体"/>
          <w:color w:val="000000" w:themeColor="text1"/>
          <w:sz w:val="24"/>
          <w:szCs w:val="24"/>
        </w:rPr>
        <w:t>2.5、采购需求：</w:t>
      </w:r>
      <w:r>
        <w:rPr>
          <w:rFonts w:hint="eastAsia" w:ascii="宋体" w:hAnsi="宋体" w:cs="宋体"/>
          <w:color w:val="000000" w:themeColor="text1"/>
          <w:sz w:val="24"/>
          <w:szCs w:val="24"/>
        </w:rPr>
        <w:t>详见谈判文件第三章“用户需求书”</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6</w:t>
      </w:r>
      <w:r>
        <w:rPr>
          <w:rFonts w:ascii="宋体" w:hAnsi="宋体" w:cs="宋体"/>
          <w:color w:val="000000" w:themeColor="text1"/>
          <w:sz w:val="24"/>
          <w:szCs w:val="24"/>
        </w:rPr>
        <w:t>、项目实施地点：</w:t>
      </w:r>
      <w:r>
        <w:rPr>
          <w:rFonts w:hint="eastAsia" w:ascii="宋体" w:hAnsi="宋体" w:cs="宋体"/>
          <w:color w:val="000000" w:themeColor="text1"/>
          <w:sz w:val="24"/>
          <w:szCs w:val="24"/>
        </w:rPr>
        <w:t>采购人指定地点</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7</w:t>
      </w:r>
      <w:r>
        <w:rPr>
          <w:rFonts w:ascii="宋体" w:hAnsi="宋体" w:cs="宋体"/>
          <w:color w:val="000000" w:themeColor="text1"/>
          <w:sz w:val="24"/>
          <w:szCs w:val="24"/>
        </w:rPr>
        <w:t>、</w:t>
      </w:r>
      <w:r>
        <w:rPr>
          <w:rFonts w:hint="eastAsia" w:ascii="宋体" w:hAnsi="宋体" w:cs="宋体"/>
          <w:color w:val="000000" w:themeColor="text1"/>
          <w:sz w:val="24"/>
          <w:szCs w:val="24"/>
        </w:rPr>
        <w:t>交付期限</w:t>
      </w:r>
      <w:r>
        <w:rPr>
          <w:rFonts w:ascii="宋体" w:hAnsi="宋体" w:cs="宋体"/>
          <w:color w:val="000000" w:themeColor="text1"/>
          <w:sz w:val="24"/>
          <w:szCs w:val="24"/>
        </w:rPr>
        <w:t>：</w:t>
      </w:r>
      <w:r>
        <w:rPr>
          <w:rFonts w:hint="eastAsia" w:ascii="宋体" w:hAnsi="宋体" w:cs="宋体"/>
          <w:color w:val="000000" w:themeColor="text1"/>
          <w:sz w:val="24"/>
          <w:szCs w:val="24"/>
        </w:rPr>
        <w:t>30日历天；</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2.8、售后要求：质保两年；</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2.9、</w:t>
      </w:r>
      <w:r>
        <w:rPr>
          <w:rFonts w:ascii="宋体" w:hAnsi="宋体" w:cs="宋体"/>
          <w:color w:val="000000" w:themeColor="text1"/>
          <w:sz w:val="24"/>
          <w:szCs w:val="24"/>
        </w:rPr>
        <w:t>付款方式： 按照合同协商方式付款</w:t>
      </w:r>
      <w:r>
        <w:rPr>
          <w:rFonts w:hint="eastAsia" w:ascii="宋体" w:hAnsi="宋体" w:cs="宋体"/>
          <w:color w:val="000000" w:themeColor="text1"/>
          <w:sz w:val="24"/>
          <w:szCs w:val="24"/>
        </w:rPr>
        <w:t>。</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2.10、质量标准：合格。</w:t>
      </w:r>
    </w:p>
    <w:p>
      <w:pPr>
        <w:spacing w:line="360" w:lineRule="auto"/>
        <w:ind w:left="5542" w:hanging="5542"/>
        <w:outlineLvl w:val="1"/>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二</w:t>
      </w:r>
      <w:r>
        <w:rPr>
          <w:rFonts w:asciiTheme="minorEastAsia" w:hAnsiTheme="minorEastAsia" w:eastAsiaTheme="minorEastAsia"/>
          <w:b/>
          <w:color w:val="000000" w:themeColor="text1"/>
          <w:sz w:val="24"/>
          <w:szCs w:val="24"/>
        </w:rPr>
        <w:t>、</w:t>
      </w:r>
      <w:bookmarkEnd w:id="74"/>
      <w:r>
        <w:rPr>
          <w:rFonts w:hint="eastAsia" w:asciiTheme="minorEastAsia" w:hAnsiTheme="minorEastAsia" w:eastAsiaTheme="minorEastAsia"/>
          <w:b/>
          <w:color w:val="000000" w:themeColor="text1"/>
          <w:sz w:val="24"/>
          <w:szCs w:val="24"/>
        </w:rPr>
        <w:t>建设</w:t>
      </w:r>
      <w:r>
        <w:rPr>
          <w:rFonts w:asciiTheme="minorEastAsia" w:hAnsiTheme="minorEastAsia" w:eastAsiaTheme="minorEastAsia"/>
          <w:b/>
          <w:color w:val="000000" w:themeColor="text1"/>
          <w:sz w:val="24"/>
          <w:szCs w:val="24"/>
        </w:rPr>
        <w:t>简述</w:t>
      </w:r>
    </w:p>
    <w:p>
      <w:pPr>
        <w:spacing w:line="500" w:lineRule="exact"/>
        <w:ind w:firstLine="480" w:firstLineChars="200"/>
        <w:rPr>
          <w:rFonts w:ascii="宋体" w:hAnsi="宋体"/>
          <w:color w:val="000000" w:themeColor="text1"/>
          <w:sz w:val="24"/>
          <w:szCs w:val="24"/>
        </w:rPr>
      </w:pPr>
      <w:bookmarkStart w:id="75" w:name="_Toc116920199"/>
      <w:r>
        <w:rPr>
          <w:rFonts w:hint="eastAsia" w:ascii="宋体" w:hAnsi="宋体"/>
          <w:sz w:val="24"/>
        </w:rPr>
        <w:t>本次采购拟引入先进的智能网联汽车相关实训设备，结合原有智能网联汽车相关设备和实训室配置，建设以智能网联汽车技术为核心，配套智能装调测试实训区、环境感知实训区、仿真教学实训区和道路模拟测试实训区等多个相关的实训操作区。按照一体化教学改革要求，建成融教学、培训、职业技能鉴定及竞赛培训的一体化实训基地。</w:t>
      </w:r>
    </w:p>
    <w:p>
      <w:pPr>
        <w:spacing w:line="360" w:lineRule="auto"/>
        <w:ind w:left="5542" w:hanging="5542"/>
        <w:outlineLvl w:val="1"/>
        <w:rPr>
          <w:rFonts w:asciiTheme="minorEastAsia" w:hAnsiTheme="minorEastAsia"/>
          <w:b/>
          <w:color w:val="000000" w:themeColor="text1"/>
          <w:sz w:val="24"/>
          <w:szCs w:val="24"/>
        </w:rPr>
      </w:pPr>
      <w:r>
        <w:rPr>
          <w:rFonts w:hint="eastAsia" w:asciiTheme="minorEastAsia" w:hAnsiTheme="minorEastAsia" w:eastAsiaTheme="minorEastAsia"/>
          <w:b/>
          <w:color w:val="000000" w:themeColor="text1"/>
          <w:sz w:val="24"/>
          <w:szCs w:val="24"/>
        </w:rPr>
        <w:t>三</w:t>
      </w:r>
      <w:r>
        <w:rPr>
          <w:rFonts w:asciiTheme="minorEastAsia" w:hAnsiTheme="minorEastAsia" w:eastAsiaTheme="minorEastAsia"/>
          <w:b/>
          <w:color w:val="000000" w:themeColor="text1"/>
          <w:sz w:val="24"/>
          <w:szCs w:val="24"/>
        </w:rPr>
        <w:t>、</w:t>
      </w:r>
      <w:r>
        <w:rPr>
          <w:rFonts w:hint="eastAsia" w:ascii="宋体" w:hAnsi="宋体" w:cs="宋体"/>
          <w:b/>
          <w:bCs/>
          <w:sz w:val="24"/>
        </w:rPr>
        <w:t>设备规格及要求</w:t>
      </w:r>
    </w:p>
    <w:tbl>
      <w:tblPr>
        <w:tblStyle w:val="46"/>
        <w:tblW w:w="8660" w:type="dxa"/>
        <w:jc w:val="center"/>
        <w:tblLayout w:type="autofit"/>
        <w:tblCellMar>
          <w:top w:w="0" w:type="dxa"/>
          <w:left w:w="108" w:type="dxa"/>
          <w:bottom w:w="0" w:type="dxa"/>
          <w:right w:w="108" w:type="dxa"/>
        </w:tblCellMar>
      </w:tblPr>
      <w:tblGrid>
        <w:gridCol w:w="1480"/>
        <w:gridCol w:w="2145"/>
        <w:gridCol w:w="997"/>
        <w:gridCol w:w="851"/>
        <w:gridCol w:w="2126"/>
        <w:gridCol w:w="1061"/>
      </w:tblGrid>
      <w:tr>
        <w:tblPrEx>
          <w:tblCellMar>
            <w:top w:w="0" w:type="dxa"/>
            <w:left w:w="108" w:type="dxa"/>
            <w:bottom w:w="0" w:type="dxa"/>
            <w:right w:w="108" w:type="dxa"/>
          </w:tblCellMar>
        </w:tblPrEx>
        <w:trPr>
          <w:trHeight w:val="750" w:hRule="atLeast"/>
          <w:jc w:val="center"/>
        </w:trPr>
        <w:tc>
          <w:tcPr>
            <w:tcW w:w="1480" w:type="dxa"/>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ascii="宋体" w:hAnsi="宋体" w:cs="宋体"/>
                <w:b/>
                <w:bCs/>
                <w:color w:val="000000"/>
                <w:sz w:val="24"/>
              </w:rPr>
            </w:pPr>
            <w:r>
              <w:rPr>
                <w:rFonts w:hint="eastAsia" w:ascii="宋体" w:hAnsi="宋体" w:cs="宋体"/>
                <w:b/>
                <w:bCs/>
                <w:color w:val="000000"/>
                <w:sz w:val="24"/>
              </w:rPr>
              <w:t>设备名称</w:t>
            </w:r>
          </w:p>
        </w:tc>
        <w:tc>
          <w:tcPr>
            <w:tcW w:w="214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sz w:val="24"/>
              </w:rPr>
            </w:pPr>
            <w:r>
              <w:rPr>
                <w:rFonts w:hint="eastAsia" w:ascii="宋体" w:hAnsi="宋体" w:cs="宋体"/>
                <w:b/>
                <w:bCs/>
                <w:color w:val="000000"/>
                <w:sz w:val="24"/>
              </w:rPr>
              <w:t>规格型号</w:t>
            </w:r>
          </w:p>
        </w:tc>
        <w:tc>
          <w:tcPr>
            <w:tcW w:w="997"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sz w:val="24"/>
              </w:rPr>
            </w:pPr>
            <w:r>
              <w:rPr>
                <w:rFonts w:hint="eastAsia" w:ascii="宋体" w:hAnsi="宋体" w:cs="宋体"/>
                <w:b/>
                <w:bCs/>
                <w:color w:val="000000"/>
                <w:sz w:val="24"/>
              </w:rPr>
              <w:t>单位</w:t>
            </w:r>
          </w:p>
        </w:tc>
        <w:tc>
          <w:tcPr>
            <w:tcW w:w="85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sz w:val="24"/>
              </w:rPr>
            </w:pPr>
            <w:r>
              <w:rPr>
                <w:rFonts w:hint="eastAsia" w:ascii="宋体" w:hAnsi="宋体" w:cs="宋体"/>
                <w:b/>
                <w:bCs/>
                <w:color w:val="000000"/>
                <w:sz w:val="24"/>
              </w:rPr>
              <w:t>数量</w:t>
            </w:r>
          </w:p>
        </w:tc>
        <w:tc>
          <w:tcPr>
            <w:tcW w:w="212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sz w:val="24"/>
              </w:rPr>
            </w:pPr>
            <w:r>
              <w:rPr>
                <w:rFonts w:hint="eastAsia" w:ascii="宋体" w:hAnsi="宋体" w:cs="宋体"/>
                <w:b/>
                <w:bCs/>
                <w:color w:val="000000"/>
                <w:sz w:val="24"/>
              </w:rPr>
              <w:t>预算资金（元）</w:t>
            </w:r>
          </w:p>
        </w:tc>
        <w:tc>
          <w:tcPr>
            <w:tcW w:w="106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bCs/>
                <w:color w:val="000000"/>
                <w:sz w:val="24"/>
              </w:rPr>
            </w:pPr>
            <w:r>
              <w:rPr>
                <w:rFonts w:hint="eastAsia" w:ascii="宋体" w:hAnsi="宋体" w:cs="宋体"/>
                <w:b/>
                <w:bCs/>
                <w:color w:val="000000"/>
                <w:sz w:val="24"/>
              </w:rPr>
              <w:t>备注</w:t>
            </w:r>
          </w:p>
        </w:tc>
      </w:tr>
      <w:tr>
        <w:tblPrEx>
          <w:tblCellMar>
            <w:top w:w="0" w:type="dxa"/>
            <w:left w:w="108" w:type="dxa"/>
            <w:bottom w:w="0" w:type="dxa"/>
            <w:right w:w="108" w:type="dxa"/>
          </w:tblCellMar>
        </w:tblPrEx>
        <w:trPr>
          <w:trHeight w:val="2285" w:hRule="atLeast"/>
          <w:jc w:val="center"/>
        </w:trPr>
        <w:tc>
          <w:tcPr>
            <w:tcW w:w="1480" w:type="dxa"/>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ascii="宋体" w:hAnsi="宋体" w:cs="宋体"/>
                <w:color w:val="000000"/>
                <w:sz w:val="24"/>
              </w:rPr>
            </w:pPr>
            <w:r>
              <w:rPr>
                <w:rFonts w:hint="eastAsia" w:ascii="宋体" w:hAnsi="宋体" w:cs="宋体"/>
                <w:color w:val="000000"/>
                <w:sz w:val="24"/>
              </w:rPr>
              <w:t>智能载运车综合实训系统</w:t>
            </w:r>
          </w:p>
        </w:tc>
        <w:tc>
          <w:tcPr>
            <w:tcW w:w="2145"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rPr>
            </w:pPr>
            <w:r>
              <w:rPr>
                <w:rFonts w:hint="eastAsia" w:ascii="宋体" w:hAnsi="宋体" w:cs="宋体"/>
                <w:color w:val="000000"/>
                <w:sz w:val="24"/>
              </w:rPr>
              <w:t>符合全国新能源汽车关键技术技能大赛汽车电气装调工(智能载运技术方向)学生组设备技术标准</w:t>
            </w:r>
          </w:p>
        </w:tc>
        <w:tc>
          <w:tcPr>
            <w:tcW w:w="99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rPr>
            </w:pPr>
            <w:r>
              <w:rPr>
                <w:rFonts w:hint="eastAsia" w:ascii="宋体" w:hAnsi="宋体" w:cs="宋体"/>
                <w:color w:val="000000"/>
                <w:sz w:val="24"/>
              </w:rPr>
              <w:t>套</w:t>
            </w:r>
          </w:p>
        </w:tc>
        <w:tc>
          <w:tcPr>
            <w:tcW w:w="851"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rPr>
            </w:pPr>
            <w:r>
              <w:rPr>
                <w:rFonts w:hint="eastAsia" w:ascii="宋体" w:hAnsi="宋体" w:cs="宋体"/>
                <w:color w:val="000000"/>
                <w:sz w:val="24"/>
              </w:rPr>
              <w:t>1</w:t>
            </w:r>
          </w:p>
        </w:tc>
        <w:tc>
          <w:tcPr>
            <w:tcW w:w="2126"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rPr>
            </w:pPr>
            <w:r>
              <w:rPr>
                <w:rFonts w:hint="eastAsia" w:ascii="宋体" w:hAnsi="宋体" w:cs="宋体"/>
                <w:color w:val="000000"/>
                <w:sz w:val="24"/>
              </w:rPr>
              <w:t xml:space="preserve">418,000.00 </w:t>
            </w:r>
          </w:p>
        </w:tc>
        <w:tc>
          <w:tcPr>
            <w:tcW w:w="1061"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rPr>
            </w:pPr>
          </w:p>
        </w:tc>
      </w:tr>
    </w:tbl>
    <w:p>
      <w:pPr>
        <w:spacing w:line="360" w:lineRule="auto"/>
        <w:ind w:firstLine="480" w:firstLineChars="200"/>
        <w:rPr>
          <w:rFonts w:ascii="宋体" w:hAnsi="宋体"/>
          <w:color w:val="000000" w:themeColor="text1"/>
          <w:sz w:val="24"/>
          <w:szCs w:val="24"/>
          <w:lang w:val="zh-TW"/>
        </w:rPr>
      </w:pPr>
      <w:r>
        <w:rPr>
          <w:rFonts w:hint="eastAsia" w:ascii="宋体" w:hAnsi="宋体"/>
          <w:color w:val="000000" w:themeColor="text1"/>
          <w:sz w:val="24"/>
          <w:szCs w:val="24"/>
          <w:lang w:val="zh-TW"/>
        </w:rPr>
        <w:t>1.使用灵活，能满足日常教学、培训以及竞赛使用</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lang w:val="zh-TW"/>
        </w:rPr>
        <w:t>2.须提供设备配套的软件资源、教学资源包等配套技术材料。</w:t>
      </w:r>
    </w:p>
    <w:p>
      <w:pPr>
        <w:spacing w:line="360" w:lineRule="auto"/>
        <w:ind w:firstLine="480" w:firstLineChars="200"/>
        <w:rPr>
          <w:rFonts w:hint="eastAsia" w:ascii="宋体" w:hAnsi="宋体"/>
          <w:color w:val="000000" w:themeColor="text1"/>
          <w:sz w:val="24"/>
          <w:szCs w:val="24"/>
          <w:lang w:val="zh-TW"/>
        </w:rPr>
      </w:pPr>
      <w:r>
        <w:rPr>
          <w:rFonts w:hint="eastAsia" w:ascii="宋体" w:hAnsi="宋体"/>
          <w:color w:val="000000" w:themeColor="text1"/>
          <w:sz w:val="24"/>
          <w:szCs w:val="24"/>
          <w:lang w:val="zh-TW"/>
        </w:rPr>
        <w:t>3.须提供不少于30学时的专业技术培训。</w:t>
      </w:r>
    </w:p>
    <w:p>
      <w:pPr>
        <w:shd w:val="clear" w:color="auto" w:fill="FFFFFF"/>
        <w:spacing w:line="360" w:lineRule="auto"/>
        <w:ind w:firstLine="480" w:firstLineChars="200"/>
        <w:rPr>
          <w:rFonts w:ascii="宋体" w:hAnsi="宋体" w:cs="宋体"/>
          <w:bCs/>
          <w:sz w:val="24"/>
        </w:rPr>
      </w:pPr>
      <w:r>
        <w:rPr>
          <w:rFonts w:hint="eastAsia" w:ascii="宋体" w:hAnsi="宋体"/>
          <w:color w:val="000000" w:themeColor="text1"/>
          <w:sz w:val="24"/>
          <w:szCs w:val="24"/>
        </w:rPr>
        <w:t>4.</w:t>
      </w:r>
      <w:r>
        <w:rPr>
          <w:rFonts w:hint="eastAsia" w:ascii="宋体" w:hAnsi="宋体" w:cs="宋体"/>
          <w:bCs/>
          <w:sz w:val="24"/>
        </w:rPr>
        <w:t>★参数：供应商需承诺提供的货物参数符合第三届全国新能源汽车关键技术技能大赛竞赛文件的参数要求（提供承诺函并加盖公章，格式自拟）。</w:t>
      </w:r>
    </w:p>
    <w:p>
      <w:pPr>
        <w:spacing w:line="360" w:lineRule="auto"/>
        <w:ind w:firstLine="482" w:firstLineChars="200"/>
        <w:rPr>
          <w:rFonts w:asciiTheme="minorEastAsia" w:hAnsiTheme="minorEastAsia" w:eastAsiaTheme="minorEastAsia"/>
          <w:b/>
          <w:color w:val="000000" w:themeColor="text1"/>
          <w:sz w:val="24"/>
          <w:szCs w:val="24"/>
        </w:rPr>
      </w:pPr>
    </w:p>
    <w:p>
      <w:pPr>
        <w:numPr>
          <w:ilvl w:val="0"/>
          <w:numId w:val="1"/>
        </w:numPr>
        <w:spacing w:line="360" w:lineRule="auto"/>
        <w:ind w:left="5542" w:hanging="5542"/>
        <w:outlineLvl w:val="1"/>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具体参数指标</w:t>
      </w:r>
    </w:p>
    <w:tbl>
      <w:tblPr>
        <w:tblStyle w:val="47"/>
        <w:tblW w:w="91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738"/>
        <w:gridCol w:w="6375"/>
        <w:gridCol w:w="683"/>
        <w:gridCol w:w="7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4" w:type="dxa"/>
            <w:vAlign w:val="center"/>
          </w:tcPr>
          <w:p>
            <w:pPr>
              <w:spacing w:line="360" w:lineRule="auto"/>
              <w:jc w:val="center"/>
              <w:rPr>
                <w:b/>
                <w:szCs w:val="21"/>
              </w:rPr>
            </w:pPr>
            <w:r>
              <w:rPr>
                <w:b/>
                <w:szCs w:val="21"/>
              </w:rPr>
              <w:t>序号</w:t>
            </w:r>
          </w:p>
        </w:tc>
        <w:tc>
          <w:tcPr>
            <w:tcW w:w="738" w:type="dxa"/>
            <w:vAlign w:val="center"/>
          </w:tcPr>
          <w:p>
            <w:pPr>
              <w:spacing w:line="360" w:lineRule="auto"/>
              <w:jc w:val="center"/>
              <w:rPr>
                <w:b/>
                <w:szCs w:val="21"/>
              </w:rPr>
            </w:pPr>
            <w:r>
              <w:rPr>
                <w:b/>
                <w:szCs w:val="21"/>
              </w:rPr>
              <w:t>名称</w:t>
            </w:r>
          </w:p>
        </w:tc>
        <w:tc>
          <w:tcPr>
            <w:tcW w:w="6375" w:type="dxa"/>
            <w:vAlign w:val="center"/>
          </w:tcPr>
          <w:p>
            <w:pPr>
              <w:spacing w:line="360" w:lineRule="auto"/>
              <w:jc w:val="center"/>
              <w:rPr>
                <w:b/>
                <w:szCs w:val="21"/>
              </w:rPr>
            </w:pPr>
            <w:r>
              <w:rPr>
                <w:b/>
                <w:szCs w:val="21"/>
              </w:rPr>
              <w:t>功能目标及技术指标</w:t>
            </w:r>
          </w:p>
        </w:tc>
        <w:tc>
          <w:tcPr>
            <w:tcW w:w="683" w:type="dxa"/>
            <w:vAlign w:val="center"/>
          </w:tcPr>
          <w:p>
            <w:pPr>
              <w:spacing w:line="360" w:lineRule="auto"/>
              <w:jc w:val="center"/>
              <w:rPr>
                <w:b/>
                <w:szCs w:val="21"/>
              </w:rPr>
            </w:pPr>
            <w:r>
              <w:rPr>
                <w:b/>
                <w:szCs w:val="21"/>
              </w:rPr>
              <w:t>数量</w:t>
            </w:r>
          </w:p>
        </w:tc>
        <w:tc>
          <w:tcPr>
            <w:tcW w:w="709" w:type="dxa"/>
          </w:tcPr>
          <w:p>
            <w:pPr>
              <w:spacing w:line="360" w:lineRule="auto"/>
              <w:jc w:val="center"/>
              <w:rPr>
                <w:b/>
                <w:szCs w:val="21"/>
              </w:rPr>
            </w:pPr>
            <w:r>
              <w:rPr>
                <w:b/>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0" w:hRule="atLeast"/>
          <w:jc w:val="center"/>
        </w:trPr>
        <w:tc>
          <w:tcPr>
            <w:tcW w:w="694" w:type="dxa"/>
            <w:vAlign w:val="center"/>
          </w:tcPr>
          <w:p>
            <w:pPr>
              <w:jc w:val="center"/>
              <w:rPr>
                <w:szCs w:val="21"/>
              </w:rPr>
            </w:pPr>
            <w:r>
              <w:rPr>
                <w:szCs w:val="21"/>
              </w:rPr>
              <w:t>1</w:t>
            </w:r>
          </w:p>
        </w:tc>
        <w:tc>
          <w:tcPr>
            <w:tcW w:w="738" w:type="dxa"/>
            <w:vAlign w:val="center"/>
          </w:tcPr>
          <w:p>
            <w:pPr>
              <w:spacing w:line="360" w:lineRule="auto"/>
              <w:rPr>
                <w:b/>
                <w:bCs/>
                <w:szCs w:val="21"/>
              </w:rPr>
            </w:pPr>
            <w:r>
              <w:rPr>
                <w:b/>
                <w:bCs/>
                <w:szCs w:val="21"/>
              </w:rPr>
              <w:t>智能载运车综合实训系统</w:t>
            </w:r>
          </w:p>
        </w:tc>
        <w:tc>
          <w:tcPr>
            <w:tcW w:w="6375" w:type="dxa"/>
          </w:tcPr>
          <w:p>
            <w:pPr>
              <w:ind w:firstLine="420" w:firstLineChars="200"/>
              <w:rPr>
                <w:color w:val="000000"/>
                <w:szCs w:val="21"/>
              </w:rPr>
            </w:pPr>
            <w:r>
              <w:rPr>
                <w:color w:val="000000"/>
                <w:szCs w:val="21"/>
              </w:rPr>
              <w:t>新能源智能载运车综合实训系统对接新能源汽车行业，对道路交通信号、货物自动装载多种典型应用场景，展现新能源智能载运车在日常生活和物流转运中的应用场景需求。通过智能识别、运动控制、智能决策、人机交互、网络监控等服务功能模块的安装调试，形成与生产设备、工作环境、服务作业、运行管理等要素有效联接、协同运作的“新能源智能载运车综合实训系统”。</w:t>
            </w:r>
          </w:p>
          <w:p>
            <w:pPr>
              <w:ind w:firstLine="420" w:firstLineChars="200"/>
              <w:rPr>
                <w:color w:val="000000"/>
                <w:szCs w:val="21"/>
              </w:rPr>
            </w:pPr>
            <w:r>
              <w:rPr>
                <w:color w:val="000000"/>
                <w:szCs w:val="21"/>
              </w:rPr>
              <w:t>新能源智能载运车综合实训系统定位于新能源汽车行业智能载运技术的装调、测试，重点培训考核智能装载系统、智能载运车辆的安装、调试、编程、互联协作和排故。通过不同场景的规划与搭建、智能载运系统集成与调试、智能载运车辆故障检测与维修、性能优化等操作，考核学员在智能载运场景中电气系统理论知识和分析、电气系统装配与调试、导航定位技术和人工智能技术的基本能力，借以促进汽车电气装调工智能载运技术应用领域复合型、高素质技能人才培养。</w:t>
            </w:r>
          </w:p>
          <w:p>
            <w:pPr>
              <w:ind w:firstLine="420" w:firstLineChars="200"/>
              <w:rPr>
                <w:color w:val="000000"/>
                <w:szCs w:val="21"/>
              </w:rPr>
            </w:pPr>
            <w:r>
              <w:rPr>
                <w:bCs/>
                <w:szCs w:val="21"/>
              </w:rPr>
              <w:t>占地面积：</w:t>
            </w:r>
            <w:r>
              <w:rPr>
                <w:rFonts w:hint="eastAsia"/>
                <w:bCs/>
                <w:szCs w:val="21"/>
              </w:rPr>
              <w:t>不大于</w:t>
            </w:r>
            <w:r>
              <w:rPr>
                <w:szCs w:val="21"/>
              </w:rPr>
              <w:t>5900×5000mm</w:t>
            </w:r>
            <w:r>
              <w:rPr>
                <w:color w:val="000000"/>
                <w:szCs w:val="21"/>
              </w:rPr>
              <w:t>；</w:t>
            </w:r>
          </w:p>
          <w:p>
            <w:pPr>
              <w:ind w:firstLine="420" w:firstLineChars="200"/>
              <w:rPr>
                <w:bCs/>
                <w:szCs w:val="21"/>
              </w:rPr>
            </w:pPr>
            <w:r>
              <w:rPr>
                <w:bCs/>
                <w:color w:val="000000"/>
                <w:szCs w:val="21"/>
              </w:rPr>
              <w:t>电源与功率：</w:t>
            </w:r>
            <w:r>
              <w:rPr>
                <w:rFonts w:hint="eastAsia"/>
                <w:bCs/>
                <w:color w:val="000000"/>
                <w:szCs w:val="21"/>
              </w:rPr>
              <w:t>不大于</w:t>
            </w:r>
            <w:r>
              <w:rPr>
                <w:szCs w:val="21"/>
              </w:rPr>
              <w:t>AC 220V/3kW</w:t>
            </w:r>
            <w:r>
              <w:rPr>
                <w:rFonts w:hint="eastAsia"/>
                <w:szCs w:val="21"/>
              </w:rPr>
              <w:t>。</w:t>
            </w:r>
          </w:p>
          <w:p>
            <w:pPr>
              <w:spacing w:line="360" w:lineRule="auto"/>
              <w:rPr>
                <w:rFonts w:hint="eastAsia"/>
                <w:b/>
                <w:bCs/>
                <w:szCs w:val="21"/>
              </w:rPr>
            </w:pPr>
            <w:r>
              <w:rPr>
                <w:b/>
                <w:bCs/>
                <w:szCs w:val="21"/>
              </w:rPr>
              <w:t>主要技术参数</w:t>
            </w:r>
          </w:p>
          <w:p>
            <w:pPr>
              <w:spacing w:line="360" w:lineRule="auto"/>
              <w:rPr>
                <w:rFonts w:ascii="宋体" w:hAnsi="宋体" w:cs="宋体"/>
                <w:b/>
                <w:bCs/>
                <w:sz w:val="24"/>
              </w:rPr>
            </w:pPr>
            <w:r>
              <w:rPr>
                <w:rFonts w:hint="eastAsia" w:ascii="宋体" w:hAnsi="宋体" w:cs="宋体"/>
                <w:b/>
                <w:bCs/>
                <w:sz w:val="24"/>
              </w:rPr>
              <w:t>1、智能转运车</w:t>
            </w:r>
          </w:p>
          <w:p>
            <w:pPr>
              <w:rPr>
                <w:color w:val="000000"/>
                <w:szCs w:val="21"/>
              </w:rPr>
            </w:pPr>
            <w:r>
              <w:rPr>
                <w:rFonts w:hint="eastAsia"/>
                <w:color w:val="000000"/>
                <w:szCs w:val="21"/>
              </w:rPr>
              <w:t>系统配有智能转运车，用于将危险品转运至安全处置场。小车采用类汽车结构，简洁大方运动控制精准适合长时间高强度工作。</w:t>
            </w:r>
          </w:p>
          <w:p>
            <w:pPr>
              <w:ind w:firstLine="420" w:firstLineChars="200"/>
              <w:rPr>
                <w:color w:val="000000"/>
                <w:szCs w:val="21"/>
              </w:rPr>
            </w:pPr>
            <w:r>
              <w:rPr>
                <w:rFonts w:hint="eastAsia"/>
                <w:color w:val="000000"/>
                <w:szCs w:val="21"/>
              </w:rPr>
              <w:t>智能转运车具有主要功能：</w:t>
            </w:r>
          </w:p>
          <w:p>
            <w:pPr>
              <w:ind w:firstLine="420" w:firstLineChars="200"/>
              <w:rPr>
                <w:color w:val="000000"/>
                <w:szCs w:val="21"/>
              </w:rPr>
            </w:pPr>
            <w:r>
              <w:rPr>
                <w:rFonts w:hint="eastAsia"/>
                <w:color w:val="000000"/>
                <w:szCs w:val="21"/>
              </w:rPr>
              <w:t>1）支持基于3D激光雷达的自主建图、定位、自主导航功能；</w:t>
            </w:r>
          </w:p>
          <w:p>
            <w:pPr>
              <w:ind w:firstLine="420" w:firstLineChars="200"/>
              <w:rPr>
                <w:color w:val="000000"/>
                <w:szCs w:val="21"/>
              </w:rPr>
            </w:pPr>
            <w:r>
              <w:rPr>
                <w:color w:val="000000"/>
                <w:szCs w:val="21"/>
              </w:rPr>
              <w:t>★</w:t>
            </w:r>
            <w:r>
              <w:rPr>
                <w:rFonts w:hint="eastAsia"/>
                <w:color w:val="000000"/>
                <w:szCs w:val="21"/>
              </w:rPr>
              <w:t>2）支持在网页端远程实时运动控制、建图、定位、导航、状态反馈等功能；（投标文件提供符合相关功能软件截图，若成交供应商虚假响应，采购人有权立即解除合同，同时，采购人可追究成交供应商虚假应标的责任，并上报财政部门。）</w:t>
            </w:r>
          </w:p>
          <w:p>
            <w:pPr>
              <w:ind w:firstLine="420" w:firstLineChars="200"/>
              <w:rPr>
                <w:color w:val="000000"/>
                <w:szCs w:val="21"/>
              </w:rPr>
            </w:pPr>
            <w:r>
              <w:rPr>
                <w:rFonts w:hint="eastAsia"/>
                <w:color w:val="000000"/>
                <w:szCs w:val="21"/>
              </w:rPr>
              <w:t>3）支持在ROS系统下自定义多条新能源载运车运动路径，可设置路宽、起始点、终点等参数；</w:t>
            </w:r>
          </w:p>
          <w:p>
            <w:pPr>
              <w:ind w:firstLine="420" w:firstLineChars="200"/>
              <w:rPr>
                <w:color w:val="000000"/>
                <w:szCs w:val="21"/>
              </w:rPr>
            </w:pPr>
            <w:r>
              <w:rPr>
                <w:rFonts w:hint="eastAsia"/>
                <w:color w:val="000000"/>
                <w:szCs w:val="21"/>
              </w:rPr>
              <w:t>4）支持在ROS系统下可视化实时显示新能源载运车动态运动过程，实现虚实联动；</w:t>
            </w:r>
          </w:p>
          <w:p>
            <w:pPr>
              <w:ind w:firstLine="420" w:firstLineChars="200"/>
              <w:rPr>
                <w:color w:val="000000"/>
                <w:szCs w:val="21"/>
              </w:rPr>
            </w:pPr>
            <w:r>
              <w:rPr>
                <w:rFonts w:hint="eastAsia"/>
                <w:color w:val="000000"/>
                <w:szCs w:val="21"/>
              </w:rPr>
              <w:t>5）支持在多点间自动正向、倒车往复运动；</w:t>
            </w:r>
          </w:p>
          <w:p>
            <w:pPr>
              <w:ind w:firstLine="420" w:firstLineChars="200"/>
              <w:rPr>
                <w:color w:val="000000"/>
                <w:szCs w:val="21"/>
              </w:rPr>
            </w:pPr>
            <w:r>
              <w:rPr>
                <w:rFonts w:hint="eastAsia"/>
                <w:color w:val="000000"/>
                <w:szCs w:val="21"/>
              </w:rPr>
              <w:t>6）支持超声波实时距离检测，实现安全避障；</w:t>
            </w:r>
          </w:p>
          <w:p>
            <w:pPr>
              <w:ind w:firstLine="420" w:firstLineChars="200"/>
              <w:rPr>
                <w:color w:val="000000"/>
                <w:szCs w:val="21"/>
              </w:rPr>
            </w:pPr>
            <w:r>
              <w:rPr>
                <w:rFonts w:hint="eastAsia"/>
                <w:color w:val="000000"/>
                <w:szCs w:val="21"/>
              </w:rPr>
              <w:t>7）车载工业相机可实时获取视频流，调用深度学习模型，实时进行目标检测；</w:t>
            </w:r>
          </w:p>
          <w:p>
            <w:pPr>
              <w:ind w:firstLine="420" w:firstLineChars="200"/>
              <w:rPr>
                <w:color w:val="000000"/>
                <w:szCs w:val="21"/>
              </w:rPr>
            </w:pPr>
            <w:r>
              <w:rPr>
                <w:color w:val="000000"/>
                <w:szCs w:val="21"/>
              </w:rPr>
              <w:t>★</w:t>
            </w:r>
            <w:r>
              <w:rPr>
                <w:rFonts w:hint="eastAsia"/>
                <w:color w:val="000000"/>
                <w:szCs w:val="21"/>
              </w:rPr>
              <w:t>8）支持语音识别、语音交互、语音合成，播报设备状态信息；（投标文件提供符合相关功能软件截图，若成交供应商虚假响应，采购人有权立即解除合同，同时，采购人可追究成交供应商虚假应标的责任，并上报财政部门。）</w:t>
            </w:r>
          </w:p>
          <w:p>
            <w:pPr>
              <w:ind w:firstLine="420" w:firstLineChars="200"/>
              <w:rPr>
                <w:color w:val="000000"/>
                <w:szCs w:val="21"/>
              </w:rPr>
            </w:pPr>
            <w:r>
              <w:rPr>
                <w:color w:val="000000"/>
                <w:szCs w:val="21"/>
              </w:rPr>
              <w:t>★</w:t>
            </w:r>
            <w:r>
              <w:rPr>
                <w:rFonts w:hint="eastAsia"/>
                <w:color w:val="000000"/>
                <w:szCs w:val="21"/>
              </w:rPr>
              <w:t>9）支持二次开发，提供开源SDK，ROS_PACKAGE源代码。（投标文件提供符合相关功能软件截图，若成交供应商虚假响应，采购人有权立即解除合同，同时，采购人可追究成交供应商虚假应标的责任，并上报财政部门。）</w:t>
            </w:r>
          </w:p>
          <w:p>
            <w:pPr>
              <w:numPr>
                <w:ilvl w:val="0"/>
                <w:numId w:val="2"/>
              </w:numPr>
              <w:spacing w:line="360" w:lineRule="auto"/>
              <w:rPr>
                <w:b/>
                <w:bCs/>
                <w:szCs w:val="21"/>
              </w:rPr>
            </w:pPr>
            <w:r>
              <w:rPr>
                <w:b/>
                <w:bCs/>
                <w:szCs w:val="21"/>
              </w:rPr>
              <w:t>智能转运车技术参数</w:t>
            </w:r>
          </w:p>
          <w:p>
            <w:pPr>
              <w:pStyle w:val="86"/>
              <w:numPr>
                <w:ilvl w:val="0"/>
                <w:numId w:val="3"/>
              </w:numPr>
              <w:ind w:firstLineChars="0"/>
              <w:rPr>
                <w:szCs w:val="21"/>
              </w:rPr>
            </w:pPr>
            <w:r>
              <w:rPr>
                <w:szCs w:val="21"/>
              </w:rPr>
              <w:t>尺寸：</w:t>
            </w:r>
            <w:r>
              <w:rPr>
                <w:rFonts w:hint="eastAsia"/>
                <w:szCs w:val="21"/>
              </w:rPr>
              <w:t>不大于</w:t>
            </w:r>
            <w:r>
              <w:rPr>
                <w:szCs w:val="21"/>
              </w:rPr>
              <w:t>820×640×700mm</w:t>
            </w:r>
          </w:p>
          <w:p>
            <w:pPr>
              <w:pStyle w:val="86"/>
              <w:numPr>
                <w:ilvl w:val="0"/>
                <w:numId w:val="3"/>
              </w:numPr>
              <w:ind w:firstLineChars="0"/>
              <w:rPr>
                <w:szCs w:val="21"/>
              </w:rPr>
            </w:pPr>
            <w:r>
              <w:rPr>
                <w:szCs w:val="21"/>
              </w:rPr>
              <w:t>底盘结构：4轮阿克曼转向结构</w:t>
            </w:r>
          </w:p>
          <w:p>
            <w:pPr>
              <w:pStyle w:val="86"/>
              <w:numPr>
                <w:ilvl w:val="0"/>
                <w:numId w:val="3"/>
              </w:numPr>
              <w:ind w:firstLineChars="0"/>
              <w:rPr>
                <w:szCs w:val="21"/>
              </w:rPr>
            </w:pPr>
            <w:r>
              <w:rPr>
                <w:szCs w:val="21"/>
              </w:rPr>
              <w:t>驱动形式：后轮轮毂电机驱动</w:t>
            </w:r>
          </w:p>
          <w:p>
            <w:pPr>
              <w:pStyle w:val="86"/>
              <w:numPr>
                <w:ilvl w:val="0"/>
                <w:numId w:val="3"/>
              </w:numPr>
              <w:ind w:firstLineChars="0"/>
              <w:rPr>
                <w:szCs w:val="21"/>
              </w:rPr>
            </w:pPr>
            <w:r>
              <w:rPr>
                <w:szCs w:val="21"/>
              </w:rPr>
              <w:t>额定载重：</w:t>
            </w:r>
            <w:r>
              <w:rPr>
                <w:rFonts w:hint="eastAsia"/>
                <w:szCs w:val="21"/>
              </w:rPr>
              <w:t>不小于</w:t>
            </w:r>
            <w:r>
              <w:rPr>
                <w:szCs w:val="21"/>
              </w:rPr>
              <w:t>50kg</w:t>
            </w:r>
          </w:p>
          <w:p>
            <w:pPr>
              <w:pStyle w:val="86"/>
              <w:numPr>
                <w:ilvl w:val="0"/>
                <w:numId w:val="3"/>
              </w:numPr>
              <w:ind w:firstLineChars="0"/>
              <w:rPr>
                <w:szCs w:val="21"/>
              </w:rPr>
            </w:pPr>
            <w:r>
              <w:rPr>
                <w:szCs w:val="21"/>
              </w:rPr>
              <w:t>最大行进速度：4.8m/s</w:t>
            </w:r>
          </w:p>
          <w:p>
            <w:pPr>
              <w:pStyle w:val="86"/>
              <w:numPr>
                <w:ilvl w:val="0"/>
                <w:numId w:val="3"/>
              </w:numPr>
              <w:ind w:firstLineChars="0"/>
              <w:rPr>
                <w:szCs w:val="21"/>
              </w:rPr>
            </w:pPr>
            <w:r>
              <w:rPr>
                <w:szCs w:val="21"/>
              </w:rPr>
              <w:t>最小转弯半径：1.5m</w:t>
            </w:r>
          </w:p>
          <w:p>
            <w:pPr>
              <w:pStyle w:val="86"/>
              <w:numPr>
                <w:ilvl w:val="0"/>
                <w:numId w:val="3"/>
              </w:numPr>
              <w:ind w:firstLineChars="0"/>
              <w:rPr>
                <w:szCs w:val="21"/>
              </w:rPr>
            </w:pPr>
            <w:r>
              <w:rPr>
                <w:szCs w:val="21"/>
              </w:rPr>
              <w:t>空载爬坡角度：30°</w:t>
            </w:r>
          </w:p>
          <w:p>
            <w:pPr>
              <w:pStyle w:val="86"/>
              <w:numPr>
                <w:ilvl w:val="0"/>
                <w:numId w:val="3"/>
              </w:numPr>
              <w:ind w:firstLineChars="0"/>
              <w:rPr>
                <w:szCs w:val="21"/>
              </w:rPr>
            </w:pPr>
            <w:r>
              <w:rPr>
                <w:szCs w:val="21"/>
              </w:rPr>
              <w:t>续航时间：</w:t>
            </w:r>
            <w:r>
              <w:rPr>
                <w:rFonts w:hint="eastAsia"/>
                <w:szCs w:val="21"/>
              </w:rPr>
              <w:t>不少于</w:t>
            </w:r>
            <w:r>
              <w:rPr>
                <w:szCs w:val="21"/>
              </w:rPr>
              <w:t>2h</w:t>
            </w:r>
          </w:p>
          <w:p>
            <w:pPr>
              <w:pStyle w:val="86"/>
              <w:numPr>
                <w:ilvl w:val="0"/>
                <w:numId w:val="3"/>
              </w:numPr>
              <w:ind w:firstLineChars="0"/>
              <w:rPr>
                <w:szCs w:val="21"/>
              </w:rPr>
            </w:pPr>
            <w:r>
              <w:rPr>
                <w:szCs w:val="21"/>
              </w:rPr>
              <w:t>续航里程：</w:t>
            </w:r>
            <w:r>
              <w:rPr>
                <w:rFonts w:hint="eastAsia"/>
                <w:szCs w:val="21"/>
              </w:rPr>
              <w:t>不少于</w:t>
            </w:r>
            <w:r>
              <w:rPr>
                <w:szCs w:val="21"/>
              </w:rPr>
              <w:t>30km</w:t>
            </w:r>
          </w:p>
          <w:p>
            <w:pPr>
              <w:pStyle w:val="86"/>
              <w:numPr>
                <w:ilvl w:val="0"/>
                <w:numId w:val="3"/>
              </w:numPr>
              <w:ind w:firstLineChars="0"/>
              <w:rPr>
                <w:szCs w:val="21"/>
              </w:rPr>
            </w:pPr>
            <w:r>
              <w:rPr>
                <w:szCs w:val="21"/>
              </w:rPr>
              <w:t>控制器：</w:t>
            </w:r>
          </w:p>
          <w:p>
            <w:pPr>
              <w:pStyle w:val="86"/>
              <w:numPr>
                <w:ilvl w:val="1"/>
                <w:numId w:val="4"/>
              </w:numPr>
              <w:ind w:firstLineChars="0"/>
              <w:rPr>
                <w:szCs w:val="21"/>
              </w:rPr>
            </w:pPr>
            <w:r>
              <w:rPr>
                <w:szCs w:val="21"/>
              </w:rPr>
              <w:t>CPU主频：</w:t>
            </w:r>
            <w:r>
              <w:rPr>
                <w:rFonts w:hint="eastAsia"/>
                <w:szCs w:val="21"/>
              </w:rPr>
              <w:t>不低于</w:t>
            </w:r>
            <w:r>
              <w:rPr>
                <w:szCs w:val="21"/>
              </w:rPr>
              <w:t>2.0GHz</w:t>
            </w:r>
          </w:p>
          <w:p>
            <w:pPr>
              <w:pStyle w:val="86"/>
              <w:numPr>
                <w:ilvl w:val="1"/>
                <w:numId w:val="4"/>
              </w:numPr>
              <w:ind w:firstLineChars="0"/>
              <w:rPr>
                <w:szCs w:val="21"/>
              </w:rPr>
            </w:pPr>
            <w:r>
              <w:rPr>
                <w:szCs w:val="21"/>
              </w:rPr>
              <w:t>内存：</w:t>
            </w:r>
            <w:r>
              <w:rPr>
                <w:rFonts w:hint="eastAsia"/>
                <w:szCs w:val="21"/>
              </w:rPr>
              <w:t>不少于</w:t>
            </w:r>
            <w:r>
              <w:rPr>
                <w:szCs w:val="21"/>
              </w:rPr>
              <w:t>8G</w:t>
            </w:r>
          </w:p>
          <w:p>
            <w:pPr>
              <w:pStyle w:val="86"/>
              <w:numPr>
                <w:ilvl w:val="1"/>
                <w:numId w:val="4"/>
              </w:numPr>
              <w:ind w:firstLineChars="0"/>
              <w:rPr>
                <w:szCs w:val="21"/>
              </w:rPr>
            </w:pPr>
            <w:r>
              <w:rPr>
                <w:szCs w:val="21"/>
              </w:rPr>
              <w:t>固态驱动器：</w:t>
            </w:r>
            <w:r>
              <w:rPr>
                <w:rFonts w:hint="eastAsia"/>
                <w:szCs w:val="21"/>
              </w:rPr>
              <w:t>不低于</w:t>
            </w:r>
            <w:r>
              <w:rPr>
                <w:szCs w:val="21"/>
              </w:rPr>
              <w:t>32GB</w:t>
            </w:r>
          </w:p>
          <w:p>
            <w:pPr>
              <w:pStyle w:val="86"/>
              <w:numPr>
                <w:ilvl w:val="1"/>
                <w:numId w:val="4"/>
              </w:numPr>
              <w:ind w:firstLineChars="0"/>
              <w:rPr>
                <w:szCs w:val="21"/>
              </w:rPr>
            </w:pPr>
            <w:r>
              <w:rPr>
                <w:szCs w:val="21"/>
              </w:rPr>
              <w:t>系统架构：Ubuntu+机器人元操作系统</w:t>
            </w:r>
          </w:p>
          <w:p>
            <w:pPr>
              <w:pStyle w:val="86"/>
              <w:numPr>
                <w:ilvl w:val="1"/>
                <w:numId w:val="4"/>
              </w:numPr>
              <w:ind w:firstLineChars="0"/>
              <w:rPr>
                <w:szCs w:val="21"/>
              </w:rPr>
            </w:pPr>
            <w:r>
              <w:rPr>
                <w:szCs w:val="21"/>
              </w:rPr>
              <w:t>接口：USB2.0接口2个，USB3.0接口2个，HDMI 接口1个，紧急停止按钮1个，触碰传感器1个，超声波测距传感器接口8个，数字输入2个，数字输出2个，以太网接口2个、485通讯接口1个，电源接口2个</w:t>
            </w:r>
          </w:p>
          <w:p>
            <w:pPr>
              <w:pStyle w:val="86"/>
              <w:numPr>
                <w:ilvl w:val="1"/>
                <w:numId w:val="4"/>
              </w:numPr>
              <w:ind w:firstLineChars="0"/>
              <w:rPr>
                <w:szCs w:val="21"/>
              </w:rPr>
            </w:pPr>
            <w:r>
              <w:rPr>
                <w:szCs w:val="21"/>
              </w:rPr>
              <w:t>通信协议：支持USB、TCP/IP、UART等协议</w:t>
            </w:r>
          </w:p>
          <w:p>
            <w:pPr>
              <w:pStyle w:val="86"/>
              <w:numPr>
                <w:ilvl w:val="0"/>
                <w:numId w:val="3"/>
              </w:numPr>
              <w:ind w:firstLineChars="0"/>
              <w:rPr>
                <w:szCs w:val="21"/>
              </w:rPr>
            </w:pPr>
            <w:r>
              <w:rPr>
                <w:szCs w:val="21"/>
              </w:rPr>
              <w:t>电池：</w:t>
            </w:r>
          </w:p>
          <w:p>
            <w:pPr>
              <w:pStyle w:val="86"/>
              <w:numPr>
                <w:ilvl w:val="1"/>
                <w:numId w:val="5"/>
              </w:numPr>
              <w:ind w:firstLineChars="0"/>
              <w:rPr>
                <w:szCs w:val="21"/>
              </w:rPr>
            </w:pPr>
            <w:r>
              <w:rPr>
                <w:szCs w:val="21"/>
              </w:rPr>
              <w:t>类型：锂电池</w:t>
            </w:r>
          </w:p>
          <w:p>
            <w:pPr>
              <w:pStyle w:val="86"/>
              <w:numPr>
                <w:ilvl w:val="1"/>
                <w:numId w:val="5"/>
              </w:numPr>
              <w:ind w:firstLineChars="0"/>
              <w:rPr>
                <w:szCs w:val="21"/>
              </w:rPr>
            </w:pPr>
            <w:r>
              <w:rPr>
                <w:szCs w:val="21"/>
              </w:rPr>
              <w:t>电压：24V</w:t>
            </w:r>
          </w:p>
          <w:p>
            <w:pPr>
              <w:pStyle w:val="86"/>
              <w:numPr>
                <w:ilvl w:val="1"/>
                <w:numId w:val="5"/>
              </w:numPr>
              <w:ind w:firstLineChars="0"/>
              <w:rPr>
                <w:szCs w:val="21"/>
              </w:rPr>
            </w:pPr>
            <w:r>
              <w:rPr>
                <w:szCs w:val="21"/>
              </w:rPr>
              <w:t>容量：</w:t>
            </w:r>
            <w:r>
              <w:rPr>
                <w:rFonts w:hint="eastAsia"/>
                <w:szCs w:val="21"/>
              </w:rPr>
              <w:t>不低于</w:t>
            </w:r>
            <w:r>
              <w:rPr>
                <w:szCs w:val="21"/>
              </w:rPr>
              <w:t>30Ah</w:t>
            </w:r>
          </w:p>
          <w:p>
            <w:pPr>
              <w:pStyle w:val="86"/>
              <w:numPr>
                <w:ilvl w:val="1"/>
                <w:numId w:val="5"/>
              </w:numPr>
              <w:ind w:firstLineChars="0"/>
              <w:rPr>
                <w:szCs w:val="21"/>
              </w:rPr>
            </w:pPr>
            <w:r>
              <w:rPr>
                <w:szCs w:val="21"/>
              </w:rPr>
              <w:t>电量反馈：支持RS485通信实时反馈电池电量</w:t>
            </w:r>
          </w:p>
          <w:p>
            <w:pPr>
              <w:pStyle w:val="86"/>
              <w:numPr>
                <w:ilvl w:val="0"/>
                <w:numId w:val="3"/>
              </w:numPr>
              <w:ind w:firstLineChars="0"/>
              <w:rPr>
                <w:szCs w:val="21"/>
              </w:rPr>
            </w:pPr>
            <w:r>
              <w:rPr>
                <w:szCs w:val="21"/>
              </w:rPr>
              <w:t>激光雷达：</w:t>
            </w:r>
          </w:p>
          <w:p>
            <w:pPr>
              <w:pStyle w:val="86"/>
              <w:numPr>
                <w:ilvl w:val="1"/>
                <w:numId w:val="6"/>
              </w:numPr>
              <w:ind w:firstLineChars="0"/>
              <w:rPr>
                <w:szCs w:val="21"/>
              </w:rPr>
            </w:pPr>
            <w:r>
              <w:rPr>
                <w:szCs w:val="21"/>
              </w:rPr>
              <w:t>类型：3D激光雷达</w:t>
            </w:r>
          </w:p>
          <w:p>
            <w:pPr>
              <w:pStyle w:val="86"/>
              <w:numPr>
                <w:ilvl w:val="1"/>
                <w:numId w:val="6"/>
              </w:numPr>
              <w:ind w:firstLineChars="0"/>
              <w:rPr>
                <w:szCs w:val="21"/>
              </w:rPr>
            </w:pPr>
            <w:r>
              <w:rPr>
                <w:szCs w:val="21"/>
              </w:rPr>
              <w:t>线数：16线</w:t>
            </w:r>
          </w:p>
          <w:p>
            <w:pPr>
              <w:pStyle w:val="86"/>
              <w:numPr>
                <w:ilvl w:val="1"/>
                <w:numId w:val="6"/>
              </w:numPr>
              <w:ind w:firstLineChars="0"/>
              <w:rPr>
                <w:szCs w:val="21"/>
              </w:rPr>
            </w:pPr>
            <w:r>
              <w:rPr>
                <w:szCs w:val="21"/>
              </w:rPr>
              <w:t>功耗：12W</w:t>
            </w:r>
          </w:p>
          <w:p>
            <w:pPr>
              <w:pStyle w:val="86"/>
              <w:numPr>
                <w:ilvl w:val="1"/>
                <w:numId w:val="6"/>
              </w:numPr>
              <w:ind w:firstLineChars="0"/>
              <w:rPr>
                <w:szCs w:val="21"/>
              </w:rPr>
            </w:pPr>
            <w:r>
              <w:rPr>
                <w:szCs w:val="21"/>
              </w:rPr>
              <w:t>激光波长：905nm</w:t>
            </w:r>
          </w:p>
          <w:p>
            <w:pPr>
              <w:pStyle w:val="86"/>
              <w:numPr>
                <w:ilvl w:val="1"/>
                <w:numId w:val="6"/>
              </w:numPr>
              <w:ind w:firstLineChars="0"/>
              <w:rPr>
                <w:szCs w:val="21"/>
              </w:rPr>
            </w:pPr>
            <w:r>
              <w:rPr>
                <w:szCs w:val="21"/>
              </w:rPr>
              <w:t>盲区：0.4m</w:t>
            </w:r>
          </w:p>
          <w:p>
            <w:pPr>
              <w:pStyle w:val="86"/>
              <w:numPr>
                <w:ilvl w:val="1"/>
                <w:numId w:val="6"/>
              </w:numPr>
              <w:ind w:firstLineChars="0"/>
              <w:rPr>
                <w:szCs w:val="21"/>
              </w:rPr>
            </w:pPr>
            <w:r>
              <w:rPr>
                <w:szCs w:val="21"/>
              </w:rPr>
              <w:t>最大转速：1200rpm</w:t>
            </w:r>
          </w:p>
          <w:p>
            <w:pPr>
              <w:pStyle w:val="86"/>
              <w:numPr>
                <w:ilvl w:val="1"/>
                <w:numId w:val="6"/>
              </w:numPr>
              <w:ind w:firstLineChars="0"/>
              <w:rPr>
                <w:szCs w:val="21"/>
              </w:rPr>
            </w:pPr>
            <w:r>
              <w:rPr>
                <w:szCs w:val="21"/>
              </w:rPr>
              <w:t>测量半径：0.4m~150m</w:t>
            </w:r>
          </w:p>
          <w:p>
            <w:pPr>
              <w:pStyle w:val="86"/>
              <w:numPr>
                <w:ilvl w:val="1"/>
                <w:numId w:val="6"/>
              </w:numPr>
              <w:ind w:firstLineChars="0"/>
              <w:rPr>
                <w:szCs w:val="21"/>
              </w:rPr>
            </w:pPr>
            <w:r>
              <w:rPr>
                <w:szCs w:val="21"/>
              </w:rPr>
              <w:t>水平视场角：360°</w:t>
            </w:r>
          </w:p>
          <w:p>
            <w:pPr>
              <w:pStyle w:val="86"/>
              <w:numPr>
                <w:ilvl w:val="1"/>
                <w:numId w:val="6"/>
              </w:numPr>
              <w:ind w:firstLineChars="0"/>
              <w:rPr>
                <w:szCs w:val="21"/>
              </w:rPr>
            </w:pPr>
            <w:r>
              <w:rPr>
                <w:szCs w:val="21"/>
              </w:rPr>
              <w:t>垂直视场角：30°</w:t>
            </w:r>
          </w:p>
          <w:p>
            <w:pPr>
              <w:pStyle w:val="86"/>
              <w:numPr>
                <w:ilvl w:val="1"/>
                <w:numId w:val="6"/>
              </w:numPr>
              <w:ind w:firstLineChars="0"/>
              <w:rPr>
                <w:szCs w:val="21"/>
              </w:rPr>
            </w:pPr>
            <w:r>
              <w:rPr>
                <w:szCs w:val="21"/>
              </w:rPr>
              <w:t>水平角分辨率 ：≤</w:t>
            </w:r>
            <w:r>
              <w:rPr>
                <w:szCs w:val="21"/>
              </w:rPr>
              <w:tab/>
            </w:r>
            <w:r>
              <w:rPr>
                <w:szCs w:val="21"/>
              </w:rPr>
              <w:t>0.4°</w:t>
            </w:r>
          </w:p>
          <w:p>
            <w:pPr>
              <w:pStyle w:val="86"/>
              <w:numPr>
                <w:ilvl w:val="1"/>
                <w:numId w:val="6"/>
              </w:numPr>
              <w:ind w:firstLineChars="0"/>
              <w:rPr>
                <w:szCs w:val="21"/>
              </w:rPr>
            </w:pPr>
            <w:r>
              <w:rPr>
                <w:szCs w:val="21"/>
              </w:rPr>
              <w:t>垂直角分辨率：</w:t>
            </w:r>
            <w:r>
              <w:rPr>
                <w:szCs w:val="21"/>
              </w:rPr>
              <w:tab/>
            </w:r>
            <w:r>
              <w:rPr>
                <w:szCs w:val="21"/>
              </w:rPr>
              <w:t>≤3.0°</w:t>
            </w:r>
          </w:p>
          <w:p>
            <w:pPr>
              <w:pStyle w:val="86"/>
              <w:numPr>
                <w:ilvl w:val="1"/>
                <w:numId w:val="6"/>
              </w:numPr>
              <w:ind w:firstLineChars="0"/>
              <w:rPr>
                <w:szCs w:val="21"/>
              </w:rPr>
            </w:pPr>
            <w:r>
              <w:rPr>
                <w:szCs w:val="21"/>
              </w:rPr>
              <w:t>测量精度：±20mm</w:t>
            </w:r>
          </w:p>
          <w:p>
            <w:pPr>
              <w:pStyle w:val="86"/>
              <w:numPr>
                <w:ilvl w:val="1"/>
                <w:numId w:val="6"/>
              </w:numPr>
              <w:ind w:firstLineChars="0"/>
              <w:rPr>
                <w:szCs w:val="21"/>
              </w:rPr>
            </w:pPr>
            <w:r>
              <w:rPr>
                <w:szCs w:val="21"/>
              </w:rPr>
              <w:t>接口类型：TCP/IP</w:t>
            </w:r>
          </w:p>
          <w:p>
            <w:pPr>
              <w:pStyle w:val="86"/>
              <w:numPr>
                <w:ilvl w:val="1"/>
                <w:numId w:val="6"/>
              </w:numPr>
              <w:ind w:firstLineChars="0"/>
              <w:rPr>
                <w:szCs w:val="21"/>
              </w:rPr>
            </w:pPr>
            <w:r>
              <w:rPr>
                <w:szCs w:val="21"/>
              </w:rPr>
              <w:t>接口速率：100Mbps</w:t>
            </w:r>
          </w:p>
          <w:p>
            <w:pPr>
              <w:pStyle w:val="86"/>
              <w:numPr>
                <w:ilvl w:val="1"/>
                <w:numId w:val="6"/>
              </w:numPr>
              <w:ind w:firstLineChars="0"/>
              <w:rPr>
                <w:szCs w:val="21"/>
              </w:rPr>
            </w:pPr>
            <w:r>
              <w:rPr>
                <w:szCs w:val="21"/>
              </w:rPr>
              <w:t>输出协议：UDP</w:t>
            </w:r>
          </w:p>
          <w:p>
            <w:pPr>
              <w:pStyle w:val="86"/>
              <w:numPr>
                <w:ilvl w:val="1"/>
                <w:numId w:val="6"/>
              </w:numPr>
              <w:ind w:firstLineChars="0"/>
              <w:rPr>
                <w:szCs w:val="21"/>
              </w:rPr>
            </w:pPr>
            <w:r>
              <w:rPr>
                <w:szCs w:val="21"/>
              </w:rPr>
              <w:t>最大输出点数：600000pts/s</w:t>
            </w:r>
          </w:p>
          <w:p>
            <w:pPr>
              <w:pStyle w:val="86"/>
              <w:numPr>
                <w:ilvl w:val="1"/>
                <w:numId w:val="6"/>
              </w:numPr>
              <w:ind w:firstLineChars="0"/>
              <w:rPr>
                <w:szCs w:val="21"/>
              </w:rPr>
            </w:pPr>
            <w:r>
              <w:rPr>
                <w:szCs w:val="21"/>
              </w:rPr>
              <w:t>工作电压：9V~32V</w:t>
            </w:r>
          </w:p>
          <w:p>
            <w:pPr>
              <w:pStyle w:val="86"/>
              <w:numPr>
                <w:ilvl w:val="1"/>
                <w:numId w:val="6"/>
              </w:numPr>
              <w:ind w:firstLineChars="0"/>
              <w:rPr>
                <w:szCs w:val="21"/>
              </w:rPr>
            </w:pPr>
            <w:r>
              <w:rPr>
                <w:szCs w:val="21"/>
              </w:rPr>
              <w:t>功率：12W</w:t>
            </w:r>
          </w:p>
          <w:p>
            <w:pPr>
              <w:pStyle w:val="86"/>
              <w:numPr>
                <w:ilvl w:val="1"/>
                <w:numId w:val="6"/>
              </w:numPr>
              <w:ind w:firstLineChars="0"/>
              <w:rPr>
                <w:szCs w:val="21"/>
              </w:rPr>
            </w:pPr>
            <w:r>
              <w:rPr>
                <w:szCs w:val="21"/>
              </w:rPr>
              <w:t>重量：0.87kg</w:t>
            </w:r>
          </w:p>
          <w:p>
            <w:pPr>
              <w:pStyle w:val="86"/>
              <w:numPr>
                <w:ilvl w:val="1"/>
                <w:numId w:val="6"/>
              </w:numPr>
              <w:ind w:firstLineChars="0"/>
              <w:rPr>
                <w:szCs w:val="21"/>
              </w:rPr>
            </w:pPr>
            <w:r>
              <w:rPr>
                <w:szCs w:val="21"/>
              </w:rPr>
              <w:t>尺寸：109×80.7mm</w:t>
            </w:r>
          </w:p>
          <w:p>
            <w:pPr>
              <w:pStyle w:val="86"/>
              <w:numPr>
                <w:ilvl w:val="1"/>
                <w:numId w:val="6"/>
              </w:numPr>
              <w:ind w:firstLineChars="0"/>
              <w:rPr>
                <w:szCs w:val="21"/>
              </w:rPr>
            </w:pPr>
            <w:r>
              <w:rPr>
                <w:szCs w:val="21"/>
              </w:rPr>
              <w:t>工作温度：-30℃~60℃</w:t>
            </w:r>
          </w:p>
          <w:p>
            <w:pPr>
              <w:pStyle w:val="86"/>
              <w:numPr>
                <w:ilvl w:val="1"/>
                <w:numId w:val="6"/>
              </w:numPr>
              <w:ind w:firstLineChars="0"/>
              <w:rPr>
                <w:szCs w:val="21"/>
              </w:rPr>
            </w:pPr>
            <w:r>
              <w:rPr>
                <w:szCs w:val="21"/>
              </w:rPr>
              <w:t>防护等级：IP67</w:t>
            </w:r>
          </w:p>
          <w:p>
            <w:pPr>
              <w:pStyle w:val="86"/>
              <w:numPr>
                <w:ilvl w:val="1"/>
                <w:numId w:val="6"/>
              </w:numPr>
              <w:ind w:firstLineChars="0"/>
              <w:rPr>
                <w:szCs w:val="21"/>
              </w:rPr>
            </w:pPr>
            <w:r>
              <w:rPr>
                <w:szCs w:val="21"/>
              </w:rPr>
              <w:t>帧率：20Hz</w:t>
            </w:r>
          </w:p>
          <w:p>
            <w:pPr>
              <w:pStyle w:val="86"/>
              <w:numPr>
                <w:ilvl w:val="0"/>
                <w:numId w:val="3"/>
              </w:numPr>
              <w:ind w:firstLineChars="0"/>
              <w:rPr>
                <w:szCs w:val="21"/>
              </w:rPr>
            </w:pPr>
            <w:r>
              <w:rPr>
                <w:szCs w:val="21"/>
              </w:rPr>
              <w:t>超声波传感器：</w:t>
            </w:r>
          </w:p>
          <w:p>
            <w:pPr>
              <w:pStyle w:val="86"/>
              <w:numPr>
                <w:ilvl w:val="1"/>
                <w:numId w:val="7"/>
              </w:numPr>
              <w:ind w:firstLineChars="0"/>
              <w:rPr>
                <w:szCs w:val="21"/>
              </w:rPr>
            </w:pPr>
            <w:r>
              <w:rPr>
                <w:szCs w:val="21"/>
              </w:rPr>
              <w:t>数量：</w:t>
            </w:r>
            <w:r>
              <w:rPr>
                <w:rFonts w:hint="eastAsia"/>
                <w:szCs w:val="21"/>
              </w:rPr>
              <w:t>不少于</w:t>
            </w:r>
            <w:r>
              <w:rPr>
                <w:szCs w:val="21"/>
              </w:rPr>
              <w:t>4个</w:t>
            </w:r>
          </w:p>
          <w:p>
            <w:pPr>
              <w:pStyle w:val="86"/>
              <w:numPr>
                <w:ilvl w:val="1"/>
                <w:numId w:val="7"/>
              </w:numPr>
              <w:ind w:firstLineChars="0"/>
              <w:rPr>
                <w:szCs w:val="21"/>
              </w:rPr>
            </w:pPr>
            <w:r>
              <w:rPr>
                <w:szCs w:val="21"/>
              </w:rPr>
              <w:t>工作频率：40kHz</w:t>
            </w:r>
          </w:p>
          <w:p>
            <w:pPr>
              <w:pStyle w:val="86"/>
              <w:numPr>
                <w:ilvl w:val="1"/>
                <w:numId w:val="7"/>
              </w:numPr>
              <w:ind w:firstLineChars="0"/>
              <w:rPr>
                <w:szCs w:val="21"/>
              </w:rPr>
            </w:pPr>
            <w:r>
              <w:rPr>
                <w:szCs w:val="21"/>
              </w:rPr>
              <w:t>测量角度：15°</w:t>
            </w:r>
          </w:p>
          <w:p>
            <w:pPr>
              <w:pStyle w:val="86"/>
              <w:numPr>
                <w:ilvl w:val="1"/>
                <w:numId w:val="7"/>
              </w:numPr>
              <w:ind w:firstLineChars="0"/>
              <w:rPr>
                <w:szCs w:val="21"/>
              </w:rPr>
            </w:pPr>
            <w:r>
              <w:rPr>
                <w:szCs w:val="21"/>
              </w:rPr>
              <w:t>探测有效距离：0.02m~5m</w:t>
            </w:r>
          </w:p>
          <w:p>
            <w:pPr>
              <w:pStyle w:val="86"/>
              <w:numPr>
                <w:ilvl w:val="1"/>
                <w:numId w:val="7"/>
              </w:numPr>
              <w:ind w:firstLineChars="0"/>
              <w:rPr>
                <w:szCs w:val="21"/>
              </w:rPr>
            </w:pPr>
            <w:r>
              <w:rPr>
                <w:szCs w:val="21"/>
              </w:rPr>
              <w:t>探测分辨率：0.5cm</w:t>
            </w:r>
          </w:p>
          <w:p>
            <w:pPr>
              <w:pStyle w:val="86"/>
              <w:numPr>
                <w:ilvl w:val="1"/>
                <w:numId w:val="7"/>
              </w:numPr>
              <w:ind w:firstLineChars="0"/>
              <w:rPr>
                <w:szCs w:val="21"/>
              </w:rPr>
            </w:pPr>
            <w:r>
              <w:rPr>
                <w:szCs w:val="21"/>
              </w:rPr>
              <w:t>探测误差：±0.5%</w:t>
            </w:r>
          </w:p>
          <w:p>
            <w:pPr>
              <w:pStyle w:val="86"/>
              <w:numPr>
                <w:ilvl w:val="1"/>
                <w:numId w:val="7"/>
              </w:numPr>
              <w:ind w:firstLineChars="0"/>
              <w:rPr>
                <w:szCs w:val="21"/>
              </w:rPr>
            </w:pPr>
            <w:r>
              <w:rPr>
                <w:szCs w:val="21"/>
              </w:rPr>
              <w:t>接口类型：TTL</w:t>
            </w:r>
          </w:p>
          <w:p>
            <w:pPr>
              <w:pStyle w:val="86"/>
              <w:numPr>
                <w:ilvl w:val="1"/>
                <w:numId w:val="7"/>
              </w:numPr>
              <w:ind w:firstLineChars="0"/>
              <w:rPr>
                <w:szCs w:val="21"/>
              </w:rPr>
            </w:pPr>
            <w:r>
              <w:rPr>
                <w:szCs w:val="21"/>
              </w:rPr>
              <w:t>TTL脉冲：10us</w:t>
            </w:r>
          </w:p>
          <w:p>
            <w:pPr>
              <w:pStyle w:val="86"/>
              <w:numPr>
                <w:ilvl w:val="1"/>
                <w:numId w:val="7"/>
              </w:numPr>
              <w:ind w:firstLineChars="0"/>
              <w:rPr>
                <w:szCs w:val="21"/>
              </w:rPr>
            </w:pPr>
            <w:r>
              <w:rPr>
                <w:szCs w:val="21"/>
              </w:rPr>
              <w:t>供电电源：3V~24V</w:t>
            </w:r>
          </w:p>
          <w:p>
            <w:pPr>
              <w:pStyle w:val="86"/>
              <w:numPr>
                <w:ilvl w:val="0"/>
                <w:numId w:val="3"/>
              </w:numPr>
              <w:ind w:firstLineChars="0"/>
              <w:rPr>
                <w:szCs w:val="21"/>
              </w:rPr>
            </w:pPr>
            <w:r>
              <w:rPr>
                <w:szCs w:val="21"/>
              </w:rPr>
              <w:t>智能相机：</w:t>
            </w:r>
          </w:p>
          <w:p>
            <w:pPr>
              <w:pStyle w:val="86"/>
              <w:numPr>
                <w:ilvl w:val="1"/>
                <w:numId w:val="8"/>
              </w:numPr>
              <w:ind w:firstLineChars="0"/>
              <w:rPr>
                <w:szCs w:val="21"/>
              </w:rPr>
            </w:pPr>
            <w:r>
              <w:rPr>
                <w:szCs w:val="21"/>
              </w:rPr>
              <w:t>深度技术：红外双目</w:t>
            </w:r>
          </w:p>
          <w:p>
            <w:pPr>
              <w:pStyle w:val="86"/>
              <w:numPr>
                <w:ilvl w:val="1"/>
                <w:numId w:val="8"/>
              </w:numPr>
              <w:ind w:firstLineChars="0"/>
              <w:rPr>
                <w:szCs w:val="21"/>
              </w:rPr>
            </w:pPr>
            <w:r>
              <w:rPr>
                <w:szCs w:val="21"/>
              </w:rPr>
              <w:t>工作范围：0.11~10m</w:t>
            </w:r>
          </w:p>
          <w:p>
            <w:pPr>
              <w:pStyle w:val="86"/>
              <w:numPr>
                <w:ilvl w:val="1"/>
                <w:numId w:val="8"/>
              </w:numPr>
              <w:ind w:firstLineChars="0"/>
              <w:rPr>
                <w:szCs w:val="21"/>
              </w:rPr>
            </w:pPr>
            <w:r>
              <w:rPr>
                <w:szCs w:val="21"/>
              </w:rPr>
              <w:t>深度摄像头视场角（H×V）：65°×40°</w:t>
            </w:r>
          </w:p>
          <w:p>
            <w:pPr>
              <w:pStyle w:val="86"/>
              <w:numPr>
                <w:ilvl w:val="1"/>
                <w:numId w:val="8"/>
              </w:numPr>
              <w:ind w:firstLineChars="0"/>
              <w:rPr>
                <w:szCs w:val="21"/>
              </w:rPr>
            </w:pPr>
            <w:r>
              <w:rPr>
                <w:szCs w:val="21"/>
              </w:rPr>
              <w:t>深度分辨率：1280×720</w:t>
            </w:r>
          </w:p>
          <w:p>
            <w:pPr>
              <w:pStyle w:val="86"/>
              <w:numPr>
                <w:ilvl w:val="1"/>
                <w:numId w:val="8"/>
              </w:numPr>
              <w:ind w:firstLineChars="0"/>
              <w:rPr>
                <w:szCs w:val="21"/>
              </w:rPr>
            </w:pPr>
            <w:r>
              <w:rPr>
                <w:szCs w:val="21"/>
              </w:rPr>
              <w:t>彩色摄像头视场角（H×V）：69°×42°</w:t>
            </w:r>
          </w:p>
          <w:p>
            <w:pPr>
              <w:pStyle w:val="86"/>
              <w:numPr>
                <w:ilvl w:val="1"/>
                <w:numId w:val="8"/>
              </w:numPr>
              <w:ind w:firstLineChars="0"/>
              <w:rPr>
                <w:szCs w:val="21"/>
              </w:rPr>
            </w:pPr>
            <w:r>
              <w:rPr>
                <w:szCs w:val="21"/>
              </w:rPr>
              <w:t>彩色分辨率：1920×1080</w:t>
            </w:r>
          </w:p>
          <w:p>
            <w:pPr>
              <w:pStyle w:val="86"/>
              <w:numPr>
                <w:ilvl w:val="1"/>
                <w:numId w:val="8"/>
              </w:numPr>
              <w:ind w:firstLineChars="0"/>
              <w:rPr>
                <w:szCs w:val="21"/>
              </w:rPr>
            </w:pPr>
            <w:r>
              <w:rPr>
                <w:szCs w:val="21"/>
              </w:rPr>
              <w:t>彩色帧率：30fps</w:t>
            </w:r>
          </w:p>
          <w:p>
            <w:pPr>
              <w:pStyle w:val="86"/>
              <w:numPr>
                <w:ilvl w:val="1"/>
                <w:numId w:val="8"/>
              </w:numPr>
              <w:ind w:firstLineChars="0"/>
              <w:rPr>
                <w:szCs w:val="21"/>
              </w:rPr>
            </w:pPr>
            <w:r>
              <w:rPr>
                <w:szCs w:val="21"/>
              </w:rPr>
              <w:t>精度误差：2%（2m内）</w:t>
            </w:r>
          </w:p>
          <w:p>
            <w:pPr>
              <w:spacing w:line="360" w:lineRule="auto"/>
              <w:rPr>
                <w:b/>
                <w:bCs/>
                <w:szCs w:val="21"/>
              </w:rPr>
            </w:pPr>
            <w:r>
              <w:rPr>
                <w:b/>
                <w:bCs/>
                <w:szCs w:val="21"/>
              </w:rPr>
              <w:t xml:space="preserve"> </w:t>
            </w:r>
          </w:p>
          <w:p>
            <w:pPr>
              <w:numPr>
                <w:ilvl w:val="0"/>
                <w:numId w:val="2"/>
              </w:numPr>
              <w:spacing w:line="360" w:lineRule="auto"/>
              <w:rPr>
                <w:b/>
                <w:bCs/>
                <w:szCs w:val="21"/>
              </w:rPr>
            </w:pPr>
            <w:r>
              <w:rPr>
                <w:b/>
                <w:bCs/>
                <w:szCs w:val="21"/>
              </w:rPr>
              <w:t>货物自动装载设备技术参数</w:t>
            </w:r>
          </w:p>
          <w:p>
            <w:pPr>
              <w:spacing w:line="360" w:lineRule="auto"/>
              <w:rPr>
                <w:b/>
                <w:bCs/>
                <w:szCs w:val="21"/>
              </w:rPr>
            </w:pPr>
            <w:r>
              <w:rPr>
                <w:rFonts w:hint="eastAsia"/>
                <w:b/>
                <w:bCs/>
                <w:szCs w:val="21"/>
              </w:rPr>
              <w:t>2.1</w:t>
            </w:r>
            <w:r>
              <w:rPr>
                <w:b/>
                <w:bCs/>
                <w:szCs w:val="21"/>
              </w:rPr>
              <w:t>地轨</w:t>
            </w:r>
          </w:p>
          <w:p>
            <w:pPr>
              <w:rPr>
                <w:szCs w:val="21"/>
              </w:rPr>
            </w:pPr>
            <w:r>
              <w:rPr>
                <w:szCs w:val="21"/>
              </w:rPr>
              <w:t>模块包含地轨，移动平台可沿地轨平移。</w:t>
            </w:r>
          </w:p>
          <w:p>
            <w:pPr>
              <w:pStyle w:val="86"/>
              <w:numPr>
                <w:ilvl w:val="0"/>
                <w:numId w:val="9"/>
              </w:numPr>
              <w:ind w:firstLineChars="0"/>
              <w:rPr>
                <w:szCs w:val="21"/>
              </w:rPr>
            </w:pPr>
            <w:r>
              <w:rPr>
                <w:szCs w:val="21"/>
              </w:rPr>
              <w:t>地轨长度：1800mm</w:t>
            </w:r>
          </w:p>
          <w:p>
            <w:pPr>
              <w:pStyle w:val="86"/>
              <w:numPr>
                <w:ilvl w:val="0"/>
                <w:numId w:val="9"/>
              </w:numPr>
              <w:ind w:firstLineChars="0"/>
              <w:rPr>
                <w:szCs w:val="21"/>
              </w:rPr>
            </w:pPr>
            <w:r>
              <w:rPr>
                <w:szCs w:val="21"/>
              </w:rPr>
              <w:t>两端均有限位装置，以确保操作安全</w:t>
            </w:r>
          </w:p>
          <w:p>
            <w:pPr>
              <w:spacing w:line="360" w:lineRule="auto"/>
              <w:rPr>
                <w:b/>
                <w:bCs/>
                <w:szCs w:val="21"/>
              </w:rPr>
            </w:pPr>
            <w:r>
              <w:rPr>
                <w:rFonts w:hint="eastAsia"/>
                <w:b/>
                <w:bCs/>
                <w:szCs w:val="21"/>
              </w:rPr>
              <w:t>2.2</w:t>
            </w:r>
            <w:r>
              <w:rPr>
                <w:b/>
                <w:bCs/>
                <w:szCs w:val="21"/>
              </w:rPr>
              <w:t>导轨式移动平台</w:t>
            </w:r>
          </w:p>
          <w:p>
            <w:pPr>
              <w:pStyle w:val="86"/>
              <w:numPr>
                <w:ilvl w:val="0"/>
                <w:numId w:val="10"/>
              </w:numPr>
              <w:ind w:firstLineChars="0"/>
              <w:rPr>
                <w:szCs w:val="21"/>
              </w:rPr>
            </w:pPr>
            <w:r>
              <w:rPr>
                <w:szCs w:val="21"/>
              </w:rPr>
              <w:t>尺寸：</w:t>
            </w:r>
            <w:r>
              <w:rPr>
                <w:rFonts w:hint="eastAsia"/>
                <w:szCs w:val="21"/>
              </w:rPr>
              <w:t>不大于</w:t>
            </w:r>
            <w:r>
              <w:rPr>
                <w:szCs w:val="21"/>
              </w:rPr>
              <w:t>1720x734x1442mm</w:t>
            </w:r>
          </w:p>
          <w:p>
            <w:pPr>
              <w:pStyle w:val="86"/>
              <w:numPr>
                <w:ilvl w:val="0"/>
                <w:numId w:val="10"/>
              </w:numPr>
              <w:ind w:firstLineChars="0"/>
              <w:rPr>
                <w:szCs w:val="21"/>
              </w:rPr>
            </w:pPr>
            <w:r>
              <w:rPr>
                <w:szCs w:val="21"/>
              </w:rPr>
              <w:t>电机数量：4</w:t>
            </w:r>
          </w:p>
          <w:p>
            <w:pPr>
              <w:pStyle w:val="86"/>
              <w:numPr>
                <w:ilvl w:val="0"/>
                <w:numId w:val="10"/>
              </w:numPr>
              <w:ind w:firstLineChars="0"/>
              <w:rPr>
                <w:szCs w:val="21"/>
              </w:rPr>
            </w:pPr>
            <w:r>
              <w:rPr>
                <w:szCs w:val="21"/>
              </w:rPr>
              <w:t>X/Y/Z行程：1000/900/1000mm</w:t>
            </w:r>
          </w:p>
          <w:p>
            <w:pPr>
              <w:pStyle w:val="86"/>
              <w:numPr>
                <w:ilvl w:val="0"/>
                <w:numId w:val="10"/>
              </w:numPr>
              <w:ind w:firstLineChars="0"/>
              <w:rPr>
                <w:szCs w:val="21"/>
              </w:rPr>
            </w:pPr>
            <w:r>
              <w:rPr>
                <w:szCs w:val="21"/>
              </w:rPr>
              <w:t>X轴传动方式：滚轮导轨传动</w:t>
            </w:r>
          </w:p>
          <w:p>
            <w:pPr>
              <w:pStyle w:val="86"/>
              <w:numPr>
                <w:ilvl w:val="0"/>
                <w:numId w:val="10"/>
              </w:numPr>
              <w:ind w:firstLineChars="0"/>
              <w:rPr>
                <w:szCs w:val="21"/>
              </w:rPr>
            </w:pPr>
            <w:r>
              <w:rPr>
                <w:szCs w:val="21"/>
              </w:rPr>
              <w:t>Y轴传动方式：同步带直线模组</w:t>
            </w:r>
          </w:p>
          <w:p>
            <w:pPr>
              <w:pStyle w:val="86"/>
              <w:numPr>
                <w:ilvl w:val="0"/>
                <w:numId w:val="10"/>
              </w:numPr>
              <w:ind w:firstLineChars="0"/>
              <w:rPr>
                <w:szCs w:val="21"/>
              </w:rPr>
            </w:pPr>
            <w:r>
              <w:rPr>
                <w:szCs w:val="21"/>
              </w:rPr>
              <w:t>Z轴传动方式：柔性绳索传动</w:t>
            </w:r>
          </w:p>
          <w:p>
            <w:pPr>
              <w:pStyle w:val="86"/>
              <w:numPr>
                <w:ilvl w:val="0"/>
                <w:numId w:val="10"/>
              </w:numPr>
              <w:ind w:firstLineChars="0"/>
              <w:rPr>
                <w:szCs w:val="21"/>
              </w:rPr>
            </w:pPr>
            <w:r>
              <w:rPr>
                <w:szCs w:val="21"/>
              </w:rPr>
              <w:t>Y轴重复定位精度：±0.1mm</w:t>
            </w:r>
          </w:p>
          <w:p>
            <w:pPr>
              <w:pStyle w:val="86"/>
              <w:numPr>
                <w:ilvl w:val="0"/>
                <w:numId w:val="10"/>
              </w:numPr>
              <w:ind w:firstLineChars="0"/>
              <w:rPr>
                <w:szCs w:val="21"/>
              </w:rPr>
            </w:pPr>
            <w:r>
              <w:rPr>
                <w:szCs w:val="21"/>
              </w:rPr>
              <w:t>额定负载：1kg</w:t>
            </w:r>
          </w:p>
          <w:p>
            <w:pPr>
              <w:pStyle w:val="86"/>
              <w:numPr>
                <w:ilvl w:val="0"/>
                <w:numId w:val="10"/>
              </w:numPr>
              <w:ind w:firstLineChars="0"/>
              <w:rPr>
                <w:szCs w:val="21"/>
              </w:rPr>
            </w:pPr>
            <w:r>
              <w:rPr>
                <w:szCs w:val="21"/>
              </w:rPr>
              <w:t>供电方式：24V/40Ah锂电池</w:t>
            </w:r>
          </w:p>
          <w:p>
            <w:pPr>
              <w:pStyle w:val="86"/>
              <w:numPr>
                <w:ilvl w:val="0"/>
                <w:numId w:val="10"/>
              </w:numPr>
              <w:ind w:firstLineChars="0"/>
              <w:rPr>
                <w:szCs w:val="21"/>
              </w:rPr>
            </w:pPr>
            <w:r>
              <w:rPr>
                <w:szCs w:val="21"/>
              </w:rPr>
              <w:t>夹具：根据作业工件定制设计</w:t>
            </w:r>
          </w:p>
          <w:p>
            <w:pPr>
              <w:pStyle w:val="86"/>
              <w:numPr>
                <w:ilvl w:val="0"/>
                <w:numId w:val="10"/>
              </w:numPr>
              <w:ind w:firstLineChars="0"/>
              <w:rPr>
                <w:szCs w:val="21"/>
              </w:rPr>
            </w:pPr>
            <w:r>
              <w:rPr>
                <w:szCs w:val="21"/>
              </w:rPr>
              <w:t>相机：</w:t>
            </w:r>
          </w:p>
          <w:p>
            <w:pPr>
              <w:pStyle w:val="86"/>
              <w:numPr>
                <w:ilvl w:val="1"/>
                <w:numId w:val="11"/>
              </w:numPr>
              <w:ind w:firstLineChars="0"/>
              <w:rPr>
                <w:szCs w:val="21"/>
              </w:rPr>
            </w:pPr>
            <w:r>
              <w:rPr>
                <w:szCs w:val="21"/>
              </w:rPr>
              <w:t>传感器：1/2.7"CMOS</w:t>
            </w:r>
          </w:p>
          <w:p>
            <w:pPr>
              <w:pStyle w:val="86"/>
              <w:numPr>
                <w:ilvl w:val="1"/>
                <w:numId w:val="11"/>
              </w:numPr>
              <w:ind w:firstLineChars="0"/>
              <w:rPr>
                <w:szCs w:val="21"/>
              </w:rPr>
            </w:pPr>
            <w:r>
              <w:rPr>
                <w:szCs w:val="21"/>
              </w:rPr>
              <w:t>分辨率：1920×1080</w:t>
            </w:r>
          </w:p>
          <w:p>
            <w:pPr>
              <w:pStyle w:val="86"/>
              <w:numPr>
                <w:ilvl w:val="1"/>
                <w:numId w:val="11"/>
              </w:numPr>
              <w:ind w:firstLineChars="0"/>
              <w:rPr>
                <w:szCs w:val="21"/>
              </w:rPr>
            </w:pPr>
            <w:r>
              <w:rPr>
                <w:szCs w:val="21"/>
              </w:rPr>
              <w:t>镜头接口：M12</w:t>
            </w:r>
          </w:p>
          <w:p>
            <w:pPr>
              <w:pStyle w:val="86"/>
              <w:numPr>
                <w:ilvl w:val="1"/>
                <w:numId w:val="11"/>
              </w:numPr>
              <w:ind w:firstLineChars="0"/>
              <w:rPr>
                <w:szCs w:val="21"/>
              </w:rPr>
            </w:pPr>
            <w:r>
              <w:rPr>
                <w:szCs w:val="21"/>
              </w:rPr>
              <w:t>固定光圈：F2.0</w:t>
            </w:r>
          </w:p>
          <w:p>
            <w:pPr>
              <w:pStyle w:val="86"/>
              <w:numPr>
                <w:ilvl w:val="1"/>
                <w:numId w:val="11"/>
              </w:numPr>
              <w:ind w:firstLineChars="0"/>
              <w:rPr>
                <w:szCs w:val="21"/>
              </w:rPr>
            </w:pPr>
            <w:r>
              <w:rPr>
                <w:szCs w:val="21"/>
              </w:rPr>
              <w:t>镜头焦距：8mm</w:t>
            </w:r>
          </w:p>
          <w:p>
            <w:pPr>
              <w:pStyle w:val="86"/>
              <w:numPr>
                <w:ilvl w:val="1"/>
                <w:numId w:val="11"/>
              </w:numPr>
              <w:ind w:firstLineChars="0"/>
              <w:rPr>
                <w:szCs w:val="21"/>
              </w:rPr>
            </w:pPr>
            <w:r>
              <w:rPr>
                <w:szCs w:val="21"/>
              </w:rPr>
              <w:t>视场角：水平41°，垂直23°，对角48°</w:t>
            </w:r>
          </w:p>
          <w:p>
            <w:pPr>
              <w:pStyle w:val="86"/>
              <w:numPr>
                <w:ilvl w:val="0"/>
                <w:numId w:val="10"/>
              </w:numPr>
              <w:ind w:firstLineChars="0"/>
              <w:rPr>
                <w:szCs w:val="21"/>
              </w:rPr>
            </w:pPr>
            <w:r>
              <w:rPr>
                <w:szCs w:val="21"/>
              </w:rPr>
              <w:t>供电方式：24V40Ah锂电池</w:t>
            </w:r>
          </w:p>
          <w:p>
            <w:pPr>
              <w:pStyle w:val="86"/>
              <w:numPr>
                <w:ilvl w:val="0"/>
                <w:numId w:val="10"/>
              </w:numPr>
              <w:ind w:firstLineChars="0"/>
              <w:rPr>
                <w:szCs w:val="21"/>
              </w:rPr>
            </w:pPr>
            <w:r>
              <w:rPr>
                <w:szCs w:val="21"/>
              </w:rPr>
              <w:t>网络通信协议：HTTP或MQTT</w:t>
            </w:r>
          </w:p>
          <w:p>
            <w:pPr>
              <w:pStyle w:val="86"/>
              <w:numPr>
                <w:ilvl w:val="0"/>
                <w:numId w:val="10"/>
              </w:numPr>
              <w:ind w:firstLineChars="0"/>
              <w:rPr>
                <w:szCs w:val="21"/>
              </w:rPr>
            </w:pPr>
            <w:r>
              <w:rPr>
                <w:szCs w:val="21"/>
              </w:rPr>
              <w:t>控制接口：数字量IO或TCPROS/UDPROS控制接口，通过接口即可控制设备的状态</w:t>
            </w:r>
          </w:p>
          <w:p>
            <w:pPr>
              <w:spacing w:line="360" w:lineRule="auto"/>
              <w:rPr>
                <w:b/>
                <w:bCs/>
                <w:szCs w:val="21"/>
              </w:rPr>
            </w:pPr>
            <w:r>
              <w:rPr>
                <w:rFonts w:hint="eastAsia"/>
                <w:b/>
                <w:bCs/>
                <w:szCs w:val="21"/>
              </w:rPr>
              <w:t>2.2</w:t>
            </w:r>
            <w:r>
              <w:rPr>
                <w:b/>
                <w:bCs/>
                <w:szCs w:val="21"/>
              </w:rPr>
              <w:t>PLC技术参数</w:t>
            </w:r>
          </w:p>
          <w:p>
            <w:pPr>
              <w:pStyle w:val="86"/>
              <w:numPr>
                <w:ilvl w:val="0"/>
                <w:numId w:val="12"/>
              </w:numPr>
              <w:ind w:firstLineChars="0"/>
              <w:rPr>
                <w:szCs w:val="21"/>
              </w:rPr>
            </w:pPr>
            <w:r>
              <w:rPr>
                <w:szCs w:val="21"/>
              </w:rPr>
              <w:t>工作存储器：</w:t>
            </w:r>
            <w:r>
              <w:rPr>
                <w:rFonts w:ascii="Arial" w:hAnsi="Arial" w:cs="Arial"/>
                <w:szCs w:val="21"/>
              </w:rPr>
              <w:t>≥</w:t>
            </w:r>
            <w:r>
              <w:rPr>
                <w:szCs w:val="21"/>
              </w:rPr>
              <w:t>100KB</w:t>
            </w:r>
          </w:p>
          <w:p>
            <w:pPr>
              <w:pStyle w:val="86"/>
              <w:numPr>
                <w:ilvl w:val="0"/>
                <w:numId w:val="12"/>
              </w:numPr>
              <w:ind w:firstLineChars="0"/>
              <w:rPr>
                <w:szCs w:val="21"/>
              </w:rPr>
            </w:pPr>
            <w:r>
              <w:rPr>
                <w:szCs w:val="21"/>
              </w:rPr>
              <w:t>装载存储器：</w:t>
            </w:r>
            <w:r>
              <w:rPr>
                <w:rFonts w:ascii="Arial" w:hAnsi="Arial" w:cs="Arial"/>
                <w:szCs w:val="21"/>
              </w:rPr>
              <w:t>≥</w:t>
            </w:r>
            <w:r>
              <w:rPr>
                <w:szCs w:val="21"/>
              </w:rPr>
              <w:t>4MB</w:t>
            </w:r>
          </w:p>
          <w:p>
            <w:pPr>
              <w:pStyle w:val="86"/>
              <w:numPr>
                <w:ilvl w:val="0"/>
                <w:numId w:val="12"/>
              </w:numPr>
              <w:ind w:firstLineChars="0"/>
              <w:rPr>
                <w:szCs w:val="21"/>
              </w:rPr>
            </w:pPr>
            <w:r>
              <w:rPr>
                <w:szCs w:val="21"/>
              </w:rPr>
              <w:t>保持性存储器：</w:t>
            </w:r>
            <w:r>
              <w:rPr>
                <w:rFonts w:ascii="Arial" w:hAnsi="Arial" w:cs="Arial"/>
                <w:szCs w:val="21"/>
              </w:rPr>
              <w:t>≥</w:t>
            </w:r>
            <w:r>
              <w:rPr>
                <w:szCs w:val="21"/>
              </w:rPr>
              <w:t>10KB</w:t>
            </w:r>
          </w:p>
          <w:p>
            <w:pPr>
              <w:pStyle w:val="86"/>
              <w:numPr>
                <w:ilvl w:val="0"/>
                <w:numId w:val="12"/>
              </w:numPr>
              <w:ind w:firstLineChars="0"/>
              <w:rPr>
                <w:szCs w:val="21"/>
              </w:rPr>
            </w:pPr>
            <w:r>
              <w:rPr>
                <w:szCs w:val="21"/>
              </w:rPr>
              <w:t>数字量：14DI/10DO</w:t>
            </w:r>
          </w:p>
          <w:p>
            <w:pPr>
              <w:pStyle w:val="86"/>
              <w:numPr>
                <w:ilvl w:val="0"/>
                <w:numId w:val="12"/>
              </w:numPr>
              <w:ind w:firstLineChars="0"/>
              <w:rPr>
                <w:szCs w:val="21"/>
              </w:rPr>
            </w:pPr>
            <w:r>
              <w:rPr>
                <w:szCs w:val="21"/>
              </w:rPr>
              <w:t xml:space="preserve">模拟量：2AI </w:t>
            </w:r>
          </w:p>
          <w:p>
            <w:pPr>
              <w:pStyle w:val="86"/>
              <w:numPr>
                <w:ilvl w:val="0"/>
                <w:numId w:val="12"/>
              </w:numPr>
              <w:ind w:firstLineChars="0"/>
              <w:rPr>
                <w:szCs w:val="21"/>
              </w:rPr>
            </w:pPr>
            <w:r>
              <w:rPr>
                <w:szCs w:val="21"/>
              </w:rPr>
              <w:t>位存储器（M区）：8192字节</w:t>
            </w:r>
          </w:p>
          <w:p>
            <w:pPr>
              <w:pStyle w:val="86"/>
              <w:numPr>
                <w:ilvl w:val="0"/>
                <w:numId w:val="12"/>
              </w:numPr>
              <w:ind w:firstLineChars="0"/>
              <w:rPr>
                <w:szCs w:val="21"/>
              </w:rPr>
            </w:pPr>
            <w:r>
              <w:rPr>
                <w:szCs w:val="21"/>
              </w:rPr>
              <w:t>高速计数器：6路</w:t>
            </w:r>
          </w:p>
          <w:p>
            <w:pPr>
              <w:pStyle w:val="86"/>
              <w:numPr>
                <w:ilvl w:val="0"/>
                <w:numId w:val="12"/>
              </w:numPr>
              <w:ind w:firstLineChars="0"/>
              <w:rPr>
                <w:szCs w:val="21"/>
              </w:rPr>
            </w:pPr>
            <w:r>
              <w:rPr>
                <w:szCs w:val="21"/>
              </w:rPr>
              <w:t>脉冲输出：4路</w:t>
            </w:r>
          </w:p>
          <w:p>
            <w:pPr>
              <w:pStyle w:val="86"/>
              <w:numPr>
                <w:ilvl w:val="0"/>
                <w:numId w:val="12"/>
              </w:numPr>
              <w:ind w:firstLineChars="0"/>
              <w:rPr>
                <w:szCs w:val="21"/>
              </w:rPr>
            </w:pPr>
            <w:r>
              <w:rPr>
                <w:szCs w:val="21"/>
              </w:rPr>
              <w:t>以太网端口数：1个</w:t>
            </w:r>
          </w:p>
          <w:p>
            <w:pPr>
              <w:pStyle w:val="86"/>
              <w:numPr>
                <w:ilvl w:val="0"/>
                <w:numId w:val="12"/>
              </w:numPr>
              <w:ind w:firstLineChars="0"/>
              <w:rPr>
                <w:szCs w:val="21"/>
              </w:rPr>
            </w:pPr>
            <w:r>
              <w:rPr>
                <w:szCs w:val="21"/>
              </w:rPr>
              <w:t>通信协议：支持PROFINET、TCP/IP、SNMP、DCP、LLDP、ISO-on-TCP、UDP、MODBUS、S7等通信协议，PROFIBUS、AS接口通信扩展可支持</w:t>
            </w:r>
          </w:p>
          <w:p>
            <w:pPr>
              <w:pStyle w:val="86"/>
              <w:numPr>
                <w:ilvl w:val="0"/>
                <w:numId w:val="12"/>
              </w:numPr>
              <w:ind w:firstLineChars="0"/>
              <w:rPr>
                <w:szCs w:val="21"/>
              </w:rPr>
            </w:pPr>
            <w:r>
              <w:rPr>
                <w:szCs w:val="21"/>
              </w:rPr>
              <w:t>数据传输率：10/100Mb/s</w:t>
            </w:r>
          </w:p>
          <w:p>
            <w:pPr>
              <w:spacing w:line="360" w:lineRule="auto"/>
              <w:rPr>
                <w:b/>
                <w:bCs/>
                <w:szCs w:val="21"/>
              </w:rPr>
            </w:pPr>
            <w:r>
              <w:rPr>
                <w:rFonts w:hint="eastAsia"/>
                <w:b/>
                <w:bCs/>
                <w:szCs w:val="21"/>
              </w:rPr>
              <w:t>2.3</w:t>
            </w:r>
            <w:r>
              <w:rPr>
                <w:b/>
                <w:bCs/>
                <w:szCs w:val="21"/>
              </w:rPr>
              <w:t>人机界面主要技术参数</w:t>
            </w:r>
          </w:p>
          <w:p>
            <w:pPr>
              <w:pStyle w:val="86"/>
              <w:numPr>
                <w:ilvl w:val="0"/>
                <w:numId w:val="13"/>
              </w:numPr>
              <w:ind w:firstLineChars="0"/>
              <w:rPr>
                <w:szCs w:val="21"/>
              </w:rPr>
            </w:pPr>
            <w:r>
              <w:rPr>
                <w:szCs w:val="21"/>
              </w:rPr>
              <w:t>型号：TPC7062Ti</w:t>
            </w:r>
          </w:p>
          <w:p>
            <w:pPr>
              <w:pStyle w:val="86"/>
              <w:numPr>
                <w:ilvl w:val="0"/>
                <w:numId w:val="13"/>
              </w:numPr>
              <w:ind w:firstLineChars="0"/>
              <w:rPr>
                <w:szCs w:val="21"/>
              </w:rPr>
            </w:pPr>
            <w:r>
              <w:rPr>
                <w:szCs w:val="21"/>
              </w:rPr>
              <w:t>液晶屏：</w:t>
            </w:r>
            <w:r>
              <w:rPr>
                <w:rFonts w:hint="eastAsia"/>
                <w:szCs w:val="21"/>
                <w:lang w:val="en-US" w:eastAsia="zh-CN"/>
              </w:rPr>
              <w:t>不小于</w:t>
            </w:r>
            <w:r>
              <w:rPr>
                <w:szCs w:val="21"/>
              </w:rPr>
              <w:t>7英寸TFT</w:t>
            </w:r>
          </w:p>
          <w:p>
            <w:pPr>
              <w:pStyle w:val="86"/>
              <w:numPr>
                <w:ilvl w:val="0"/>
                <w:numId w:val="13"/>
              </w:numPr>
              <w:ind w:firstLineChars="0"/>
              <w:rPr>
                <w:szCs w:val="21"/>
              </w:rPr>
            </w:pPr>
            <w:r>
              <w:rPr>
                <w:szCs w:val="21"/>
              </w:rPr>
              <w:t>背光灯：LED</w:t>
            </w:r>
          </w:p>
          <w:p>
            <w:pPr>
              <w:pStyle w:val="86"/>
              <w:numPr>
                <w:ilvl w:val="0"/>
                <w:numId w:val="13"/>
              </w:numPr>
              <w:ind w:firstLineChars="0"/>
              <w:rPr>
                <w:szCs w:val="21"/>
              </w:rPr>
            </w:pPr>
            <w:r>
              <w:rPr>
                <w:szCs w:val="21"/>
              </w:rPr>
              <w:t>显示颜色：</w:t>
            </w:r>
            <w:r>
              <w:rPr>
                <w:rFonts w:hint="eastAsia"/>
                <w:szCs w:val="21"/>
                <w:lang w:val="en-US" w:eastAsia="zh-CN"/>
              </w:rPr>
              <w:t>不少于</w:t>
            </w:r>
            <w:r>
              <w:rPr>
                <w:szCs w:val="21"/>
              </w:rPr>
              <w:t>65535真彩色</w:t>
            </w:r>
          </w:p>
          <w:p>
            <w:pPr>
              <w:pStyle w:val="86"/>
              <w:numPr>
                <w:ilvl w:val="0"/>
                <w:numId w:val="13"/>
              </w:numPr>
              <w:ind w:firstLineChars="0"/>
              <w:rPr>
                <w:szCs w:val="21"/>
              </w:rPr>
            </w:pPr>
            <w:r>
              <w:rPr>
                <w:szCs w:val="21"/>
              </w:rPr>
              <w:t>分辨率：</w:t>
            </w:r>
            <w:r>
              <w:rPr>
                <w:rFonts w:hint="eastAsia"/>
                <w:szCs w:val="21"/>
                <w:lang w:val="en-US" w:eastAsia="zh-CN"/>
              </w:rPr>
              <w:t>不小于</w:t>
            </w:r>
            <w:r>
              <w:rPr>
                <w:szCs w:val="21"/>
              </w:rPr>
              <w:t>800×480</w:t>
            </w:r>
          </w:p>
          <w:p>
            <w:pPr>
              <w:pStyle w:val="86"/>
              <w:numPr>
                <w:ilvl w:val="0"/>
                <w:numId w:val="13"/>
              </w:numPr>
              <w:ind w:firstLineChars="0"/>
              <w:rPr>
                <w:szCs w:val="21"/>
              </w:rPr>
            </w:pPr>
            <w:r>
              <w:rPr>
                <w:szCs w:val="21"/>
              </w:rPr>
              <w:t>触摸屏：电阻式</w:t>
            </w:r>
          </w:p>
          <w:p>
            <w:pPr>
              <w:pStyle w:val="86"/>
              <w:numPr>
                <w:ilvl w:val="0"/>
                <w:numId w:val="13"/>
              </w:numPr>
              <w:ind w:firstLineChars="0"/>
              <w:rPr>
                <w:szCs w:val="21"/>
              </w:rPr>
            </w:pPr>
            <w:r>
              <w:rPr>
                <w:szCs w:val="21"/>
              </w:rPr>
              <w:t>输入电压：DC24V±20%</w:t>
            </w:r>
          </w:p>
          <w:p>
            <w:pPr>
              <w:pStyle w:val="86"/>
              <w:numPr>
                <w:ilvl w:val="0"/>
                <w:numId w:val="13"/>
              </w:numPr>
              <w:ind w:firstLineChars="0"/>
              <w:rPr>
                <w:szCs w:val="21"/>
              </w:rPr>
            </w:pPr>
            <w:r>
              <w:rPr>
                <w:szCs w:val="21"/>
              </w:rPr>
              <w:t>额定功率：5W</w:t>
            </w:r>
          </w:p>
          <w:p>
            <w:pPr>
              <w:pStyle w:val="86"/>
              <w:numPr>
                <w:ilvl w:val="0"/>
                <w:numId w:val="13"/>
              </w:numPr>
              <w:ind w:firstLineChars="0"/>
              <w:rPr>
                <w:szCs w:val="21"/>
              </w:rPr>
            </w:pPr>
            <w:r>
              <w:rPr>
                <w:szCs w:val="21"/>
              </w:rPr>
              <w:t>处理器：Cortex-A8,600MHz</w:t>
            </w:r>
          </w:p>
          <w:p>
            <w:pPr>
              <w:pStyle w:val="86"/>
              <w:numPr>
                <w:ilvl w:val="0"/>
                <w:numId w:val="13"/>
              </w:numPr>
              <w:ind w:firstLineChars="0"/>
              <w:rPr>
                <w:szCs w:val="21"/>
              </w:rPr>
            </w:pPr>
            <w:r>
              <w:rPr>
                <w:szCs w:val="21"/>
              </w:rPr>
              <w:t>内存：128M</w:t>
            </w:r>
          </w:p>
          <w:p>
            <w:pPr>
              <w:pStyle w:val="86"/>
              <w:numPr>
                <w:ilvl w:val="0"/>
                <w:numId w:val="13"/>
              </w:numPr>
              <w:ind w:firstLineChars="0"/>
              <w:rPr>
                <w:szCs w:val="21"/>
              </w:rPr>
            </w:pPr>
            <w:r>
              <w:rPr>
                <w:szCs w:val="21"/>
              </w:rPr>
              <w:t>系统存储：128M</w:t>
            </w:r>
          </w:p>
          <w:p>
            <w:pPr>
              <w:pStyle w:val="86"/>
              <w:numPr>
                <w:ilvl w:val="0"/>
                <w:numId w:val="13"/>
              </w:numPr>
              <w:ind w:firstLineChars="0"/>
              <w:rPr>
                <w:szCs w:val="21"/>
              </w:rPr>
            </w:pPr>
            <w:r>
              <w:rPr>
                <w:szCs w:val="21"/>
              </w:rPr>
              <w:t>组态软件：MCGS嵌入版</w:t>
            </w:r>
          </w:p>
          <w:p>
            <w:pPr>
              <w:pStyle w:val="86"/>
              <w:numPr>
                <w:ilvl w:val="0"/>
                <w:numId w:val="13"/>
              </w:numPr>
              <w:ind w:firstLineChars="0"/>
              <w:rPr>
                <w:szCs w:val="21"/>
              </w:rPr>
            </w:pPr>
            <w:r>
              <w:rPr>
                <w:szCs w:val="21"/>
              </w:rPr>
              <w:t>串行接口：COM1(RS232)\COM2(RS485),可扩展COM3和COM4</w:t>
            </w:r>
          </w:p>
          <w:p>
            <w:pPr>
              <w:pStyle w:val="86"/>
              <w:numPr>
                <w:ilvl w:val="0"/>
                <w:numId w:val="13"/>
              </w:numPr>
              <w:ind w:firstLineChars="0"/>
              <w:rPr>
                <w:szCs w:val="21"/>
              </w:rPr>
            </w:pPr>
            <w:r>
              <w:rPr>
                <w:szCs w:val="21"/>
              </w:rPr>
              <w:t>USB接口：1主1从</w:t>
            </w:r>
          </w:p>
          <w:p>
            <w:pPr>
              <w:pStyle w:val="86"/>
              <w:numPr>
                <w:ilvl w:val="0"/>
                <w:numId w:val="13"/>
              </w:numPr>
              <w:ind w:firstLineChars="0"/>
              <w:rPr>
                <w:szCs w:val="21"/>
              </w:rPr>
            </w:pPr>
            <w:r>
              <w:rPr>
                <w:szCs w:val="21"/>
              </w:rPr>
              <w:t>以太网口：10/100M自适应</w:t>
            </w:r>
          </w:p>
          <w:p>
            <w:pPr>
              <w:pStyle w:val="86"/>
              <w:numPr>
                <w:ilvl w:val="0"/>
                <w:numId w:val="13"/>
              </w:numPr>
              <w:ind w:firstLineChars="0"/>
              <w:rPr>
                <w:szCs w:val="21"/>
              </w:rPr>
            </w:pPr>
            <w:r>
              <w:rPr>
                <w:szCs w:val="21"/>
              </w:rPr>
              <w:t>机壳材料：工业塑料</w:t>
            </w:r>
          </w:p>
          <w:p>
            <w:pPr>
              <w:pStyle w:val="86"/>
              <w:numPr>
                <w:ilvl w:val="0"/>
                <w:numId w:val="13"/>
              </w:numPr>
              <w:ind w:firstLineChars="0"/>
              <w:rPr>
                <w:szCs w:val="21"/>
              </w:rPr>
            </w:pPr>
            <w:r>
              <w:rPr>
                <w:szCs w:val="21"/>
              </w:rPr>
              <w:t>防护等级：IP65（前面板）</w:t>
            </w:r>
          </w:p>
          <w:p>
            <w:pPr>
              <w:rPr>
                <w:szCs w:val="21"/>
              </w:rPr>
            </w:pPr>
            <w:r>
              <w:rPr>
                <w:szCs w:val="21"/>
              </w:rPr>
              <w:t xml:space="preserve"> </w:t>
            </w:r>
          </w:p>
          <w:p>
            <w:pPr>
              <w:numPr>
                <w:ilvl w:val="0"/>
                <w:numId w:val="2"/>
              </w:numPr>
              <w:spacing w:line="360" w:lineRule="auto"/>
              <w:rPr>
                <w:b/>
                <w:bCs/>
                <w:szCs w:val="21"/>
              </w:rPr>
            </w:pPr>
            <w:r>
              <w:rPr>
                <w:b/>
                <w:bCs/>
                <w:szCs w:val="21"/>
              </w:rPr>
              <w:t>导道路交通信号模拟系统技术参数</w:t>
            </w:r>
          </w:p>
          <w:p>
            <w:pPr>
              <w:pStyle w:val="86"/>
              <w:numPr>
                <w:ilvl w:val="0"/>
                <w:numId w:val="14"/>
              </w:numPr>
              <w:ind w:firstLineChars="0"/>
              <w:rPr>
                <w:szCs w:val="21"/>
              </w:rPr>
            </w:pPr>
            <w:r>
              <w:rPr>
                <w:szCs w:val="21"/>
              </w:rPr>
              <w:t>道路指示灯：3套</w:t>
            </w:r>
          </w:p>
          <w:p>
            <w:pPr>
              <w:pStyle w:val="86"/>
              <w:numPr>
                <w:ilvl w:val="0"/>
                <w:numId w:val="14"/>
              </w:numPr>
              <w:ind w:firstLineChars="0"/>
              <w:rPr>
                <w:szCs w:val="21"/>
              </w:rPr>
            </w:pPr>
            <w:r>
              <w:rPr>
                <w:szCs w:val="21"/>
              </w:rPr>
              <w:t>道路指示标志：3套</w:t>
            </w:r>
          </w:p>
          <w:p>
            <w:pPr>
              <w:rPr>
                <w:szCs w:val="21"/>
              </w:rPr>
            </w:pPr>
            <w:r>
              <w:rPr>
                <w:szCs w:val="21"/>
              </w:rPr>
              <w:t xml:space="preserve"> </w:t>
            </w:r>
          </w:p>
          <w:p>
            <w:pPr>
              <w:numPr>
                <w:ilvl w:val="0"/>
                <w:numId w:val="2"/>
              </w:numPr>
              <w:spacing w:line="360" w:lineRule="auto"/>
              <w:rPr>
                <w:b/>
                <w:bCs/>
                <w:szCs w:val="21"/>
              </w:rPr>
            </w:pPr>
            <w:r>
              <w:rPr>
                <w:b/>
                <w:bCs/>
                <w:szCs w:val="21"/>
              </w:rPr>
              <w:t>货物存储仓库技术参数</w:t>
            </w:r>
          </w:p>
          <w:p>
            <w:pPr>
              <w:pStyle w:val="86"/>
              <w:numPr>
                <w:ilvl w:val="0"/>
                <w:numId w:val="15"/>
              </w:numPr>
              <w:ind w:firstLineChars="0"/>
              <w:rPr>
                <w:szCs w:val="21"/>
              </w:rPr>
            </w:pPr>
            <w:r>
              <w:rPr>
                <w:szCs w:val="21"/>
              </w:rPr>
              <w:t>外形尺寸（长×宽×高）：1200×500×1300mm</w:t>
            </w:r>
          </w:p>
          <w:p>
            <w:pPr>
              <w:pStyle w:val="86"/>
              <w:numPr>
                <w:ilvl w:val="0"/>
                <w:numId w:val="15"/>
              </w:numPr>
              <w:ind w:firstLineChars="0"/>
              <w:rPr>
                <w:szCs w:val="21"/>
              </w:rPr>
            </w:pPr>
            <w:r>
              <w:rPr>
                <w:szCs w:val="21"/>
              </w:rPr>
              <w:t>仓位数量：3</w:t>
            </w:r>
          </w:p>
          <w:p>
            <w:pPr>
              <w:pStyle w:val="86"/>
              <w:numPr>
                <w:ilvl w:val="0"/>
                <w:numId w:val="15"/>
              </w:numPr>
              <w:ind w:firstLineChars="0"/>
              <w:rPr>
                <w:szCs w:val="21"/>
              </w:rPr>
            </w:pPr>
            <w:r>
              <w:rPr>
                <w:szCs w:val="21"/>
              </w:rPr>
              <w:t>脚轮数量：4</w:t>
            </w:r>
          </w:p>
          <w:p>
            <w:pPr>
              <w:rPr>
                <w:szCs w:val="21"/>
              </w:rPr>
            </w:pPr>
            <w:r>
              <w:rPr>
                <w:szCs w:val="21"/>
              </w:rPr>
              <w:t xml:space="preserve"> </w:t>
            </w:r>
          </w:p>
          <w:p>
            <w:pPr>
              <w:numPr>
                <w:ilvl w:val="0"/>
                <w:numId w:val="2"/>
              </w:numPr>
              <w:spacing w:line="360" w:lineRule="auto"/>
              <w:rPr>
                <w:b/>
                <w:bCs/>
                <w:szCs w:val="21"/>
              </w:rPr>
            </w:pPr>
            <w:r>
              <w:rPr>
                <w:b/>
                <w:bCs/>
                <w:szCs w:val="21"/>
              </w:rPr>
              <w:t>智能载运调控系统</w:t>
            </w:r>
          </w:p>
          <w:p>
            <w:pPr>
              <w:spacing w:line="360" w:lineRule="auto"/>
              <w:rPr>
                <w:b/>
                <w:bCs/>
                <w:szCs w:val="21"/>
              </w:rPr>
            </w:pPr>
            <w:r>
              <w:rPr>
                <w:rFonts w:hint="eastAsia"/>
                <w:b/>
                <w:bCs/>
                <w:szCs w:val="21"/>
              </w:rPr>
              <w:t>5.1</w:t>
            </w:r>
            <w:r>
              <w:rPr>
                <w:b/>
                <w:bCs/>
                <w:szCs w:val="21"/>
              </w:rPr>
              <w:t>网页版主控中心技术参数</w:t>
            </w:r>
          </w:p>
          <w:p>
            <w:pPr>
              <w:pStyle w:val="86"/>
              <w:numPr>
                <w:ilvl w:val="0"/>
                <w:numId w:val="16"/>
              </w:numPr>
              <w:ind w:firstLineChars="0"/>
              <w:rPr>
                <w:szCs w:val="21"/>
              </w:rPr>
            </w:pPr>
            <w:r>
              <w:rPr>
                <w:szCs w:val="21"/>
              </w:rPr>
              <w:t>支持以浏览器WEB方式进行访问智能载运调控系统；</w:t>
            </w:r>
          </w:p>
          <w:p>
            <w:pPr>
              <w:pStyle w:val="86"/>
              <w:numPr>
                <w:ilvl w:val="0"/>
                <w:numId w:val="16"/>
              </w:numPr>
              <w:ind w:firstLineChars="0"/>
              <w:rPr>
                <w:szCs w:val="21"/>
              </w:rPr>
            </w:pPr>
            <w:r>
              <w:rPr>
                <w:szCs w:val="21"/>
              </w:rPr>
              <w:t>支持与智能载运车上的机器人操作系统ROS直接通信交互，获取机器人运行状态和传感器数据；</w:t>
            </w:r>
          </w:p>
          <w:p>
            <w:pPr>
              <w:pStyle w:val="86"/>
              <w:numPr>
                <w:ilvl w:val="0"/>
                <w:numId w:val="16"/>
              </w:numPr>
              <w:ind w:firstLineChars="0"/>
              <w:rPr>
                <w:szCs w:val="21"/>
              </w:rPr>
            </w:pPr>
            <w:r>
              <w:rPr>
                <w:szCs w:val="21"/>
              </w:rPr>
              <w:t>提供二次开发接口，支持自定义数据对接方式；</w:t>
            </w:r>
          </w:p>
          <w:p>
            <w:pPr>
              <w:pStyle w:val="86"/>
              <w:numPr>
                <w:ilvl w:val="0"/>
                <w:numId w:val="16"/>
              </w:numPr>
              <w:ind w:firstLineChars="0"/>
              <w:rPr>
                <w:szCs w:val="21"/>
              </w:rPr>
            </w:pPr>
            <w:r>
              <w:rPr>
                <w:szCs w:val="21"/>
              </w:rPr>
              <w:t>系统至少包含新能源载运车调控WEB界面、物品转运调控WEB界面等；</w:t>
            </w:r>
          </w:p>
          <w:p>
            <w:pPr>
              <w:pStyle w:val="86"/>
              <w:numPr>
                <w:ilvl w:val="0"/>
                <w:numId w:val="16"/>
              </w:numPr>
              <w:ind w:firstLineChars="0"/>
              <w:rPr>
                <w:szCs w:val="21"/>
              </w:rPr>
            </w:pPr>
            <w:r>
              <w:rPr>
                <w:szCs w:val="21"/>
              </w:rPr>
              <w:t>新能源载运车调控WEB界面支持智能载运车建图、路径点设置、自主导航、自主回充等功能调试，支持修改移动机器人的通信参数，能够实时显示机器人在地图中的运行状态、定位坐标、电池电量等信息；</w:t>
            </w:r>
          </w:p>
          <w:p>
            <w:pPr>
              <w:pStyle w:val="86"/>
              <w:numPr>
                <w:ilvl w:val="0"/>
                <w:numId w:val="16"/>
              </w:numPr>
              <w:ind w:firstLineChars="0"/>
              <w:rPr>
                <w:szCs w:val="21"/>
              </w:rPr>
            </w:pPr>
            <w:r>
              <w:rPr>
                <w:szCs w:val="21"/>
              </w:rPr>
              <w:t>物品转运调控WEB界面支持实时智能载运车的运动和位姿信息，支持显示采集的图像和识别的位姿结果；</w:t>
            </w:r>
          </w:p>
          <w:p>
            <w:pPr>
              <w:spacing w:line="360" w:lineRule="auto"/>
              <w:rPr>
                <w:b/>
                <w:bCs/>
                <w:szCs w:val="21"/>
              </w:rPr>
            </w:pPr>
            <w:r>
              <w:rPr>
                <w:rFonts w:hint="eastAsia"/>
                <w:b/>
                <w:bCs/>
                <w:szCs w:val="21"/>
              </w:rPr>
              <w:t>5.2</w:t>
            </w:r>
            <w:r>
              <w:rPr>
                <w:b/>
                <w:bCs/>
                <w:szCs w:val="21"/>
              </w:rPr>
              <w:t>主编程软件技术参数</w:t>
            </w:r>
          </w:p>
          <w:p>
            <w:pPr>
              <w:rPr>
                <w:szCs w:val="21"/>
              </w:rPr>
            </w:pPr>
            <w:r>
              <w:rPr>
                <w:szCs w:val="21"/>
              </w:rPr>
              <w:t>系统采用PyCharm作为主编程软件，PyCharm软件具备Python语言集成开发环境，提供代码分析、图形化调试器，集成测试器、集成版本控制系统，且用户体验良好适用于大型项目开发。</w:t>
            </w:r>
          </w:p>
          <w:p>
            <w:pPr>
              <w:rPr>
                <w:szCs w:val="21"/>
              </w:rPr>
            </w:pPr>
            <w:r>
              <w:rPr>
                <w:szCs w:val="21"/>
              </w:rPr>
              <w:t>软件特点：</w:t>
            </w:r>
          </w:p>
          <w:p>
            <w:pPr>
              <w:pStyle w:val="86"/>
              <w:numPr>
                <w:ilvl w:val="0"/>
                <w:numId w:val="17"/>
              </w:numPr>
              <w:ind w:firstLineChars="0"/>
              <w:rPr>
                <w:szCs w:val="21"/>
              </w:rPr>
            </w:pPr>
            <w:r>
              <w:rPr>
                <w:szCs w:val="21"/>
              </w:rPr>
              <w:t>提供可视化标注软件，支持图像的可视化标注；</w:t>
            </w:r>
          </w:p>
          <w:p>
            <w:pPr>
              <w:pStyle w:val="86"/>
              <w:numPr>
                <w:ilvl w:val="0"/>
                <w:numId w:val="17"/>
              </w:numPr>
              <w:ind w:firstLineChars="0"/>
              <w:rPr>
                <w:szCs w:val="21"/>
              </w:rPr>
            </w:pPr>
            <w:r>
              <w:rPr>
                <w:szCs w:val="21"/>
              </w:rPr>
              <w:t>提供可视化模型训练软件，支持模型调参、模型训练、模型验证（包含图像和视频验证方式）；</w:t>
            </w:r>
          </w:p>
          <w:p>
            <w:pPr>
              <w:pStyle w:val="86"/>
              <w:numPr>
                <w:ilvl w:val="0"/>
                <w:numId w:val="17"/>
              </w:numPr>
              <w:ind w:firstLineChars="0"/>
              <w:rPr>
                <w:szCs w:val="21"/>
              </w:rPr>
            </w:pPr>
            <w:r>
              <w:rPr>
                <w:szCs w:val="21"/>
              </w:rPr>
              <w:t>支持开源机器人操作系统ROS，各模块兼容标准的ROS通信协议；</w:t>
            </w:r>
          </w:p>
          <w:p>
            <w:pPr>
              <w:pStyle w:val="86"/>
              <w:numPr>
                <w:ilvl w:val="0"/>
                <w:numId w:val="17"/>
              </w:numPr>
              <w:ind w:firstLineChars="0"/>
              <w:rPr>
                <w:szCs w:val="21"/>
              </w:rPr>
            </w:pPr>
            <w:r>
              <w:rPr>
                <w:szCs w:val="21"/>
              </w:rPr>
              <w:t>提供可视化界面，支持动态设备状态显示、屏读数显示和指针读数显示；</w:t>
            </w:r>
          </w:p>
          <w:p>
            <w:pPr>
              <w:pStyle w:val="86"/>
              <w:numPr>
                <w:ilvl w:val="0"/>
                <w:numId w:val="17"/>
              </w:numPr>
              <w:ind w:firstLineChars="0"/>
              <w:rPr>
                <w:szCs w:val="21"/>
              </w:rPr>
            </w:pPr>
            <w:r>
              <w:rPr>
                <w:szCs w:val="21"/>
              </w:rPr>
              <w:t>提供可视化建图导航软件，支持可视化地图显示和导航点设置；</w:t>
            </w:r>
          </w:p>
          <w:p>
            <w:pPr>
              <w:pStyle w:val="86"/>
              <w:numPr>
                <w:ilvl w:val="0"/>
                <w:numId w:val="17"/>
              </w:numPr>
              <w:ind w:firstLineChars="0"/>
              <w:rPr>
                <w:szCs w:val="21"/>
              </w:rPr>
            </w:pPr>
            <w:r>
              <w:rPr>
                <w:szCs w:val="21"/>
              </w:rPr>
              <w:t>支持Ubuntu16.04及以上版本，提供二次开发接口。</w:t>
            </w:r>
          </w:p>
          <w:p>
            <w:pPr>
              <w:rPr>
                <w:szCs w:val="21"/>
              </w:rPr>
            </w:pPr>
            <w:r>
              <w:rPr>
                <w:szCs w:val="21"/>
              </w:rPr>
              <w:t xml:space="preserve"> </w:t>
            </w:r>
          </w:p>
          <w:p>
            <w:pPr>
              <w:spacing w:line="360" w:lineRule="auto"/>
              <w:rPr>
                <w:b/>
                <w:bCs/>
                <w:szCs w:val="21"/>
              </w:rPr>
            </w:pPr>
            <w:r>
              <w:rPr>
                <w:rFonts w:hint="eastAsia"/>
                <w:b/>
                <w:bCs/>
                <w:szCs w:val="21"/>
              </w:rPr>
              <w:t>5.3</w:t>
            </w:r>
            <w:r>
              <w:rPr>
                <w:b/>
                <w:bCs/>
                <w:szCs w:val="21"/>
              </w:rPr>
              <w:t>汇博机器人部署工具技术参数</w:t>
            </w:r>
          </w:p>
          <w:p>
            <w:pPr>
              <w:pStyle w:val="86"/>
              <w:numPr>
                <w:ilvl w:val="0"/>
                <w:numId w:val="18"/>
              </w:numPr>
              <w:ind w:firstLineChars="0"/>
              <w:rPr>
                <w:szCs w:val="21"/>
              </w:rPr>
            </w:pPr>
            <w:r>
              <w:rPr>
                <w:szCs w:val="21"/>
              </w:rPr>
              <w:t>一键切换自动模式和手动模式。</w:t>
            </w:r>
          </w:p>
          <w:p>
            <w:pPr>
              <w:pStyle w:val="86"/>
              <w:numPr>
                <w:ilvl w:val="0"/>
                <w:numId w:val="18"/>
              </w:numPr>
              <w:ind w:firstLineChars="0"/>
              <w:rPr>
                <w:szCs w:val="21"/>
              </w:rPr>
            </w:pPr>
            <w:r>
              <w:rPr>
                <w:szCs w:val="21"/>
              </w:rPr>
              <w:t>支持机器人初始定位和定位导航。</w:t>
            </w:r>
          </w:p>
          <w:p>
            <w:pPr>
              <w:pStyle w:val="86"/>
              <w:numPr>
                <w:ilvl w:val="0"/>
                <w:numId w:val="18"/>
              </w:numPr>
              <w:ind w:firstLineChars="0"/>
              <w:rPr>
                <w:szCs w:val="21"/>
              </w:rPr>
            </w:pPr>
            <w:r>
              <w:rPr>
                <w:szCs w:val="21"/>
              </w:rPr>
              <w:t>具备一键返航功能，在设置好充电点并将智能载运车切换为自动模式后，点击按钮后，智能载运车便可自行返回充电点进行充电。</w:t>
            </w:r>
          </w:p>
          <w:p>
            <w:pPr>
              <w:pStyle w:val="86"/>
              <w:numPr>
                <w:ilvl w:val="0"/>
                <w:numId w:val="18"/>
              </w:numPr>
              <w:ind w:firstLineChars="0"/>
              <w:rPr>
                <w:szCs w:val="21"/>
              </w:rPr>
            </w:pPr>
            <w:r>
              <w:rPr>
                <w:szCs w:val="21"/>
              </w:rPr>
              <w:t>可通过修改路径点大小，改变地图上路径点的范围。</w:t>
            </w:r>
          </w:p>
          <w:p>
            <w:pPr>
              <w:pStyle w:val="86"/>
              <w:numPr>
                <w:ilvl w:val="0"/>
                <w:numId w:val="18"/>
              </w:numPr>
              <w:ind w:firstLineChars="0"/>
              <w:rPr>
                <w:szCs w:val="21"/>
              </w:rPr>
            </w:pPr>
            <w:r>
              <w:rPr>
                <w:szCs w:val="21"/>
              </w:rPr>
              <w:t>支持手动调节云台速度和服务机器人移动速度。</w:t>
            </w:r>
          </w:p>
          <w:p>
            <w:pPr>
              <w:pStyle w:val="86"/>
              <w:numPr>
                <w:ilvl w:val="0"/>
                <w:numId w:val="18"/>
              </w:numPr>
              <w:ind w:firstLineChars="0"/>
              <w:rPr>
                <w:szCs w:val="21"/>
              </w:rPr>
            </w:pPr>
            <w:r>
              <w:rPr>
                <w:szCs w:val="21"/>
              </w:rPr>
              <w:t>手动模式下，可通过方向按键控制服务机器人移动，并在状态栏下动态显示智能载运车位置信息。</w:t>
            </w:r>
          </w:p>
          <w:p>
            <w:pPr>
              <w:pStyle w:val="86"/>
              <w:numPr>
                <w:ilvl w:val="0"/>
                <w:numId w:val="18"/>
              </w:numPr>
              <w:ind w:firstLineChars="0"/>
              <w:rPr>
                <w:szCs w:val="21"/>
              </w:rPr>
            </w:pPr>
            <w:r>
              <w:rPr>
                <w:szCs w:val="21"/>
              </w:rPr>
              <w:t>具备云台控制功能，可实现云台升降、旋转、调焦、聚焦、光圈调节等操作，可手动修改云台位姿参数。</w:t>
            </w:r>
          </w:p>
          <w:p>
            <w:pPr>
              <w:pStyle w:val="86"/>
              <w:numPr>
                <w:ilvl w:val="0"/>
                <w:numId w:val="18"/>
              </w:numPr>
              <w:ind w:firstLineChars="0"/>
              <w:rPr>
                <w:szCs w:val="21"/>
              </w:rPr>
            </w:pPr>
            <w:r>
              <w:rPr>
                <w:szCs w:val="21"/>
              </w:rPr>
              <w:t>支持巡检点数据查看和任务数据采集。</w:t>
            </w:r>
          </w:p>
          <w:p>
            <w:pPr>
              <w:pStyle w:val="86"/>
              <w:numPr>
                <w:ilvl w:val="0"/>
                <w:numId w:val="18"/>
              </w:numPr>
              <w:ind w:firstLineChars="0"/>
              <w:rPr>
                <w:szCs w:val="21"/>
              </w:rPr>
            </w:pPr>
            <w:r>
              <w:rPr>
                <w:szCs w:val="21"/>
              </w:rPr>
              <w:t>支持2D视角和3D视角之间来回切换。</w:t>
            </w:r>
          </w:p>
          <w:p>
            <w:pPr>
              <w:pStyle w:val="86"/>
              <w:numPr>
                <w:ilvl w:val="0"/>
                <w:numId w:val="18"/>
              </w:numPr>
              <w:ind w:firstLineChars="0"/>
              <w:rPr>
                <w:szCs w:val="21"/>
              </w:rPr>
            </w:pPr>
            <w:r>
              <w:rPr>
                <w:szCs w:val="21"/>
              </w:rPr>
              <w:t>切换雷达后可显示服务机器人实时扫描3D点云。</w:t>
            </w:r>
          </w:p>
          <w:p>
            <w:pPr>
              <w:pStyle w:val="86"/>
              <w:numPr>
                <w:ilvl w:val="0"/>
                <w:numId w:val="18"/>
              </w:numPr>
              <w:ind w:firstLineChars="0"/>
              <w:rPr>
                <w:szCs w:val="21"/>
              </w:rPr>
            </w:pPr>
            <w:r>
              <w:rPr>
                <w:szCs w:val="21"/>
              </w:rPr>
              <w:t>具备采集路径点、新增路径点、编辑路径点、删除路径点、新增路径、编辑路径、删除路径、保存地图编辑、取消地图编辑等功能。</w:t>
            </w:r>
          </w:p>
          <w:p>
            <w:pPr>
              <w:pStyle w:val="86"/>
              <w:numPr>
                <w:ilvl w:val="0"/>
                <w:numId w:val="18"/>
              </w:numPr>
              <w:ind w:firstLineChars="0"/>
              <w:rPr>
                <w:szCs w:val="21"/>
              </w:rPr>
            </w:pPr>
            <w:r>
              <w:rPr>
                <w:szCs w:val="21"/>
              </w:rPr>
              <w:t>可控制机器人进行地图扫描并保存地图。</w:t>
            </w:r>
          </w:p>
          <w:p>
            <w:pPr>
              <w:pStyle w:val="86"/>
              <w:numPr>
                <w:ilvl w:val="0"/>
                <w:numId w:val="18"/>
              </w:numPr>
              <w:ind w:firstLineChars="0"/>
              <w:rPr>
                <w:szCs w:val="21"/>
              </w:rPr>
            </w:pPr>
            <w:r>
              <w:rPr>
                <w:szCs w:val="21"/>
              </w:rPr>
              <w:t>具备地图管理功能，可查询地图、切换地图、删除地图。</w:t>
            </w:r>
          </w:p>
          <w:p>
            <w:pPr>
              <w:pStyle w:val="86"/>
              <w:numPr>
                <w:ilvl w:val="0"/>
                <w:numId w:val="18"/>
              </w:numPr>
              <w:ind w:firstLineChars="0"/>
              <w:rPr>
                <w:rFonts w:hint="eastAsia"/>
                <w:szCs w:val="21"/>
              </w:rPr>
            </w:pPr>
            <w:r>
              <w:rPr>
                <w:szCs w:val="21"/>
              </w:rPr>
              <w:t>支持前超声、前触边、前跌落、后超声、后触边、后跌落、继电器等安全控制项的开启和关闭。</w:t>
            </w:r>
          </w:p>
          <w:p>
            <w:pPr>
              <w:spacing w:line="360" w:lineRule="auto"/>
              <w:rPr>
                <w:b/>
                <w:bCs/>
                <w:szCs w:val="21"/>
              </w:rPr>
            </w:pPr>
            <w:r>
              <w:rPr>
                <w:rFonts w:hint="eastAsia"/>
                <w:b/>
                <w:bCs/>
                <w:szCs w:val="21"/>
              </w:rPr>
              <w:t>5.4智能新能源车仿真系统</w:t>
            </w:r>
          </w:p>
          <w:p>
            <w:pPr>
              <w:pStyle w:val="86"/>
              <w:ind w:left="210" w:firstLine="0" w:firstLineChars="0"/>
              <w:rPr>
                <w:szCs w:val="21"/>
              </w:rPr>
            </w:pPr>
            <w:r>
              <w:rPr>
                <w:rFonts w:hint="eastAsia" w:ascii="宋体" w:hAnsi="宋体" w:cs="宋体"/>
                <w:szCs w:val="21"/>
              </w:rPr>
              <w:t>智</w:t>
            </w:r>
            <w:r>
              <w:rPr>
                <w:rFonts w:hint="eastAsia"/>
                <w:szCs w:val="21"/>
              </w:rPr>
              <w:t>能新能源车仿真系统，面向职业院校的教学特点，注重实训课程的开发，研发了ROS系统操作、学习基础教程，使实训人员在低成本且高度安全的环境下，掌握人工智能、工业机器人、移动机器人、服务机器人、智能视觉等先进技术，在ROS系统的工作原理和实现方式上，由浅入深，层层递进，使实训人员通过分阶段、模块化的方式掌握有新能源车系统开发。智能新能源车仿真系统基于机器人操作系统（Robot Operating System，ROS）开发，具有以下功能特点：</w:t>
            </w:r>
          </w:p>
          <w:p>
            <w:pPr>
              <w:pStyle w:val="86"/>
              <w:numPr>
                <w:ilvl w:val="0"/>
                <w:numId w:val="19"/>
              </w:numPr>
              <w:ind w:firstLineChars="0"/>
              <w:rPr>
                <w:szCs w:val="21"/>
              </w:rPr>
            </w:pPr>
            <w:r>
              <w:rPr>
                <w:rFonts w:hint="eastAsia"/>
                <w:szCs w:val="21"/>
              </w:rPr>
              <w:t>点对点设计：每个进程以独立节点的形式运行，可以分布于多个不同的主机，分散多机器人定位、导航等功能带来的实时计算压力；</w:t>
            </w:r>
          </w:p>
          <w:p>
            <w:pPr>
              <w:pStyle w:val="86"/>
              <w:numPr>
                <w:ilvl w:val="0"/>
                <w:numId w:val="19"/>
              </w:numPr>
              <w:ind w:firstLineChars="0"/>
              <w:rPr>
                <w:szCs w:val="21"/>
              </w:rPr>
            </w:pPr>
            <w:r>
              <w:rPr>
                <w:rFonts w:hint="eastAsia"/>
                <w:szCs w:val="21"/>
              </w:rPr>
              <w:t>支持多种编程语言：支持Python、C++、Java、Octave等多种不同的语言；</w:t>
            </w:r>
          </w:p>
          <w:p>
            <w:pPr>
              <w:pStyle w:val="86"/>
              <w:numPr>
                <w:ilvl w:val="0"/>
                <w:numId w:val="19"/>
              </w:numPr>
              <w:ind w:firstLineChars="0"/>
              <w:rPr>
                <w:szCs w:val="21"/>
              </w:rPr>
            </w:pPr>
            <w:r>
              <w:rPr>
                <w:rFonts w:hint="eastAsia"/>
                <w:szCs w:val="21"/>
              </w:rPr>
              <w:t>架构精简、集成度高：软件接口采用模块化设计，便于移植和复用；</w:t>
            </w:r>
          </w:p>
          <w:p>
            <w:pPr>
              <w:pStyle w:val="86"/>
              <w:numPr>
                <w:ilvl w:val="0"/>
                <w:numId w:val="19"/>
              </w:numPr>
              <w:ind w:firstLineChars="0"/>
              <w:rPr>
                <w:szCs w:val="21"/>
              </w:rPr>
            </w:pPr>
            <w:r>
              <w:rPr>
                <w:rFonts w:hint="eastAsia"/>
                <w:szCs w:val="21"/>
              </w:rPr>
              <w:t>丰富的组件化工具包：系统中集成了视觉算法库opencv和PCL、运动规划工具moveit、3D可视化工具rviz、消息查看工具rqt、物理仿真环境gazebo等组件；</w:t>
            </w:r>
          </w:p>
          <w:p>
            <w:pPr>
              <w:pStyle w:val="86"/>
              <w:numPr>
                <w:ilvl w:val="0"/>
                <w:numId w:val="19"/>
              </w:numPr>
              <w:ind w:firstLineChars="0"/>
              <w:rPr>
                <w:szCs w:val="21"/>
              </w:rPr>
            </w:pPr>
            <w:r>
              <w:rPr>
                <w:rFonts w:hint="eastAsia"/>
                <w:szCs w:val="21"/>
              </w:rPr>
              <w:t>完全开发的二次开发接口：允许使用者修改和重新发布应用程序源代码，根据需求集成于不同的应用场景；</w:t>
            </w:r>
          </w:p>
          <w:p>
            <w:pPr>
              <w:pStyle w:val="86"/>
              <w:numPr>
                <w:ilvl w:val="0"/>
                <w:numId w:val="19"/>
              </w:numPr>
              <w:ind w:firstLineChars="0"/>
              <w:rPr>
                <w:szCs w:val="21"/>
              </w:rPr>
            </w:pPr>
            <w:r>
              <w:rPr>
                <w:rFonts w:hint="eastAsia"/>
                <w:szCs w:val="21"/>
              </w:rPr>
              <w:t>提供完整功能包算法，有丰富的ROS教学资源，零基础或有ROS、Linux入门基础的学生可以系统地学习ROS机器人操作系统；</w:t>
            </w:r>
          </w:p>
          <w:p>
            <w:pPr>
              <w:pStyle w:val="86"/>
              <w:numPr>
                <w:ilvl w:val="0"/>
                <w:numId w:val="19"/>
              </w:numPr>
              <w:ind w:firstLineChars="0"/>
              <w:rPr>
                <w:szCs w:val="21"/>
              </w:rPr>
            </w:pPr>
            <w:r>
              <w:rPr>
                <w:rFonts w:hint="eastAsia"/>
                <w:szCs w:val="21"/>
              </w:rPr>
              <w:t>支持移动机器人、多自由度关节型机器人、移动操作臂、轮式人形机器人、足式人形机器人、Delta、SCARA、直角坐标等不同构型的机器人，基于运动学模型，以定制化的方式生成通用性URDF、Xacro、SRDF模型；</w:t>
            </w:r>
          </w:p>
          <w:p>
            <w:pPr>
              <w:pStyle w:val="86"/>
              <w:numPr>
                <w:ilvl w:val="0"/>
                <w:numId w:val="19"/>
              </w:numPr>
              <w:ind w:firstLineChars="0"/>
              <w:rPr>
                <w:szCs w:val="21"/>
              </w:rPr>
            </w:pPr>
            <w:r>
              <w:rPr>
                <w:szCs w:val="21"/>
              </w:rPr>
              <w:t>★</w:t>
            </w:r>
            <w:r>
              <w:rPr>
                <w:rFonts w:hint="eastAsia"/>
                <w:szCs w:val="21"/>
              </w:rPr>
              <w:t>（8）仿真系统可以定制化支持汇博、UR、ABB、KUKA，FANUC、安川等多种机器人模型，根据教学要求将机器人模型部署在仿真系统中，支持无实物状态下的物理属性仿真；（投标文件提供符合相关功能软件截图，若成交供应商虚假响应，采购人有权立即解除合同，同时，采购人可追究成交供应商虚假应标的责任，并上报财政部门。）</w:t>
            </w:r>
          </w:p>
          <w:p>
            <w:pPr>
              <w:pStyle w:val="86"/>
              <w:numPr>
                <w:ilvl w:val="0"/>
                <w:numId w:val="19"/>
              </w:numPr>
              <w:ind w:firstLineChars="0"/>
              <w:rPr>
                <w:szCs w:val="21"/>
              </w:rPr>
            </w:pPr>
            <w:r>
              <w:rPr>
                <w:rFonts w:hint="eastAsia"/>
                <w:szCs w:val="21"/>
              </w:rPr>
              <w:t>支持在线连接并实时驱动实物机器人运动，可以支持汇博、UR、ABB、KUKA，FANUC、安川等30种品牌机器人的实物机器人；</w:t>
            </w:r>
          </w:p>
          <w:p>
            <w:pPr>
              <w:pStyle w:val="86"/>
              <w:numPr>
                <w:ilvl w:val="0"/>
                <w:numId w:val="19"/>
              </w:numPr>
              <w:ind w:firstLineChars="0"/>
              <w:rPr>
                <w:szCs w:val="21"/>
              </w:rPr>
            </w:pPr>
            <w:r>
              <w:rPr>
                <w:rFonts w:hint="eastAsia"/>
                <w:szCs w:val="21"/>
              </w:rPr>
              <w:t>集成了OMPL、CHOMP、STOMP等运动规划库，支持机器人运动规划、3D视觉感知、机器人抓取操作、运动学分析、碰撞检测、仿真/实物控制、机器人导航等功能；</w:t>
            </w:r>
          </w:p>
          <w:p>
            <w:pPr>
              <w:pStyle w:val="86"/>
              <w:numPr>
                <w:ilvl w:val="0"/>
                <w:numId w:val="19"/>
              </w:numPr>
              <w:ind w:firstLineChars="0"/>
              <w:rPr>
                <w:szCs w:val="21"/>
              </w:rPr>
            </w:pPr>
            <w:r>
              <w:rPr>
                <w:rFonts w:hint="eastAsia"/>
                <w:szCs w:val="21"/>
              </w:rPr>
              <w:t>支持运动学/动力学仿真、三维可视化环境、传感器数据仿真、噪声数据仿真、云/远程仿真、可扩展插件定制化等功能；</w:t>
            </w:r>
          </w:p>
          <w:p>
            <w:pPr>
              <w:pStyle w:val="86"/>
              <w:numPr>
                <w:ilvl w:val="0"/>
                <w:numId w:val="19"/>
              </w:numPr>
              <w:ind w:firstLineChars="0"/>
              <w:rPr>
                <w:szCs w:val="21"/>
              </w:rPr>
            </w:pPr>
            <w:r>
              <w:rPr>
                <w:rFonts w:hint="eastAsia"/>
                <w:szCs w:val="21"/>
              </w:rPr>
              <w:t>提供机器人虚拟教学模块，如虚拟示教器、生成仿真运动视频；</w:t>
            </w:r>
          </w:p>
          <w:p>
            <w:pPr>
              <w:pStyle w:val="86"/>
              <w:numPr>
                <w:ilvl w:val="0"/>
                <w:numId w:val="19"/>
              </w:numPr>
              <w:ind w:firstLineChars="0"/>
              <w:rPr>
                <w:szCs w:val="21"/>
              </w:rPr>
            </w:pPr>
            <w:r>
              <w:rPr>
                <w:rFonts w:hint="eastAsia"/>
                <w:szCs w:val="21"/>
              </w:rPr>
              <w:t>支持基于Python、C++等高级语言的API的扩展编程，提供强大的Python、C++ API功能支持，允许开展大量机器人智能化应用仿真测试、验证。</w:t>
            </w:r>
          </w:p>
          <w:p>
            <w:pPr>
              <w:pStyle w:val="86"/>
              <w:numPr>
                <w:ilvl w:val="0"/>
                <w:numId w:val="19"/>
              </w:numPr>
              <w:ind w:firstLineChars="0"/>
              <w:rPr>
                <w:szCs w:val="21"/>
              </w:rPr>
            </w:pPr>
            <w:r>
              <w:rPr>
                <w:rFonts w:hint="eastAsia"/>
                <w:szCs w:val="21"/>
              </w:rPr>
              <w:t>提供配套的智能新能源车仿真系统源代码；</w:t>
            </w:r>
          </w:p>
          <w:p>
            <w:pPr>
              <w:pStyle w:val="86"/>
              <w:numPr>
                <w:ilvl w:val="0"/>
                <w:numId w:val="19"/>
              </w:numPr>
              <w:ind w:firstLineChars="0"/>
              <w:rPr>
                <w:szCs w:val="21"/>
              </w:rPr>
            </w:pPr>
            <w:r>
              <w:rPr>
                <w:rFonts w:hint="eastAsia"/>
                <w:szCs w:val="21"/>
              </w:rPr>
              <w:t>提供新能源智能载运车综合实训系统的1:1仿真模型。</w:t>
            </w:r>
          </w:p>
          <w:p>
            <w:pPr>
              <w:spacing w:line="360" w:lineRule="auto"/>
              <w:rPr>
                <w:b/>
                <w:bCs/>
                <w:szCs w:val="21"/>
              </w:rPr>
            </w:pPr>
            <w:r>
              <w:rPr>
                <w:rFonts w:hint="eastAsia"/>
                <w:b/>
                <w:bCs/>
                <w:szCs w:val="21"/>
              </w:rPr>
              <w:t>5.5机机器人数据采集软件</w:t>
            </w:r>
          </w:p>
          <w:p>
            <w:pPr>
              <w:pStyle w:val="86"/>
              <w:ind w:left="210" w:firstLine="0" w:firstLineChars="0"/>
              <w:rPr>
                <w:szCs w:val="21"/>
              </w:rPr>
            </w:pPr>
            <w:r>
              <w:rPr>
                <w:rFonts w:hint="eastAsia"/>
                <w:szCs w:val="21"/>
              </w:rPr>
              <w:t>支持各种不同品牌的机器人数据采集，并将这些数据统一转换为OPC UA 通用协议，可保证数据传输的安全性。软件可实时采集机器人IO 信号、关节坐标等数据。</w:t>
            </w:r>
          </w:p>
          <w:p>
            <w:pPr>
              <w:pStyle w:val="86"/>
              <w:ind w:left="210" w:firstLine="0" w:firstLineChars="0"/>
              <w:rPr>
                <w:szCs w:val="21"/>
              </w:rPr>
            </w:pPr>
            <w:r>
              <w:rPr>
                <w:rFonts w:hint="eastAsia"/>
                <w:szCs w:val="21"/>
              </w:rPr>
              <w:t>软件功能：</w:t>
            </w:r>
          </w:p>
          <w:p>
            <w:pPr>
              <w:pStyle w:val="86"/>
              <w:numPr>
                <w:ilvl w:val="0"/>
                <w:numId w:val="20"/>
              </w:numPr>
              <w:ind w:firstLineChars="0"/>
              <w:rPr>
                <w:szCs w:val="21"/>
              </w:rPr>
            </w:pPr>
            <w:r>
              <w:rPr>
                <w:rFonts w:hint="eastAsia"/>
                <w:szCs w:val="21"/>
              </w:rPr>
              <w:t>★支持ABB、法奥、fanuc、汇博（多个不同版本）等不同品牌机器人的数据采集；（投标文件提供符合相关功能软件截图，若成交供应商虚假响应，采购人有权立即解除合同，同时，采购人可追究成交供应商虚假应标的责任，并上报财政部门。）</w:t>
            </w:r>
          </w:p>
          <w:p>
            <w:pPr>
              <w:pStyle w:val="86"/>
              <w:numPr>
                <w:ilvl w:val="0"/>
                <w:numId w:val="20"/>
              </w:numPr>
              <w:ind w:firstLineChars="0"/>
              <w:rPr>
                <w:szCs w:val="21"/>
              </w:rPr>
            </w:pPr>
            <w:r>
              <w:rPr>
                <w:rFonts w:hint="eastAsia"/>
                <w:szCs w:val="21"/>
              </w:rPr>
              <w:t>软件支持开机启动，可支持后台自动运行，可快速在界面切换不同品牌不同型号的机器人设备；</w:t>
            </w:r>
          </w:p>
          <w:p>
            <w:pPr>
              <w:pStyle w:val="86"/>
              <w:numPr>
                <w:ilvl w:val="0"/>
                <w:numId w:val="20"/>
              </w:numPr>
              <w:ind w:firstLineChars="0"/>
              <w:rPr>
                <w:szCs w:val="21"/>
              </w:rPr>
            </w:pPr>
            <w:r>
              <w:rPr>
                <w:rFonts w:hint="eastAsia"/>
                <w:szCs w:val="21"/>
              </w:rPr>
              <w:t>机器人数据采集周期在10~100ms以内，可为三方软件提供可靠的机器人实时数据。软件运行时，可实时显示当前数据采集周期，可分析出最长和最短采集时间；</w:t>
            </w:r>
          </w:p>
          <w:p>
            <w:pPr>
              <w:pStyle w:val="86"/>
              <w:numPr>
                <w:ilvl w:val="0"/>
                <w:numId w:val="20"/>
              </w:numPr>
              <w:ind w:firstLineChars="0"/>
              <w:rPr>
                <w:szCs w:val="21"/>
              </w:rPr>
            </w:pPr>
            <w:r>
              <w:rPr>
                <w:rFonts w:hint="eastAsia"/>
                <w:szCs w:val="21"/>
              </w:rPr>
              <w:t>软件可设置将数据发送至同一台计算机的单个网卡和多个网卡，可显示当前绑定网卡的IP地址和当前使用的端口号，利用OPC UA协议实现机器人数据分发和共享；</w:t>
            </w:r>
          </w:p>
          <w:p>
            <w:pPr>
              <w:pStyle w:val="86"/>
              <w:numPr>
                <w:ilvl w:val="0"/>
                <w:numId w:val="20"/>
              </w:numPr>
              <w:ind w:firstLineChars="0"/>
              <w:rPr>
                <w:szCs w:val="21"/>
              </w:rPr>
            </w:pPr>
            <w:r>
              <w:rPr>
                <w:rFonts w:hint="eastAsia"/>
                <w:szCs w:val="21"/>
              </w:rPr>
              <w:t>软件界面可实时显示当前连接机器人的IO列表和当前信号状态，当前OPC UA服务打开状态，以及机器人的当前连接状态和实时关节坐标；</w:t>
            </w:r>
          </w:p>
          <w:p>
            <w:pPr>
              <w:pStyle w:val="86"/>
              <w:numPr>
                <w:ilvl w:val="0"/>
                <w:numId w:val="20"/>
              </w:numPr>
              <w:ind w:firstLineChars="0"/>
              <w:rPr>
                <w:szCs w:val="21"/>
              </w:rPr>
            </w:pPr>
            <w:r>
              <w:rPr>
                <w:rFonts w:hint="eastAsia"/>
                <w:szCs w:val="21"/>
              </w:rPr>
              <w:t>软件可设置参数，自动对fanuc机器人进行3轴坐标的转换，保持与实际位置情况一致；</w:t>
            </w:r>
          </w:p>
          <w:p>
            <w:pPr>
              <w:pStyle w:val="86"/>
              <w:numPr>
                <w:ilvl w:val="0"/>
                <w:numId w:val="20"/>
              </w:numPr>
              <w:ind w:firstLineChars="0"/>
              <w:rPr>
                <w:szCs w:val="21"/>
              </w:rPr>
            </w:pPr>
            <w:r>
              <w:rPr>
                <w:rFonts w:hint="eastAsia"/>
                <w:szCs w:val="21"/>
              </w:rPr>
              <w:t>软件可将用户设计的采集对象、软件使用端口、监控IP、连接的机器人型号等参数进行保存，下次打开可自动进行还原用户配置信息进行工作。</w:t>
            </w:r>
          </w:p>
          <w:p>
            <w:pPr>
              <w:pStyle w:val="86"/>
              <w:numPr>
                <w:ilvl w:val="0"/>
                <w:numId w:val="20"/>
              </w:numPr>
              <w:ind w:firstLineChars="0"/>
              <w:rPr>
                <w:szCs w:val="21"/>
              </w:rPr>
            </w:pPr>
            <w:r>
              <w:rPr>
                <w:rFonts w:hint="eastAsia"/>
                <w:szCs w:val="21"/>
              </w:rPr>
              <w:t>软件采用序列号或加密狗授权，支持对每台电脑进行单独授权。</w:t>
            </w:r>
          </w:p>
          <w:p>
            <w:pPr>
              <w:numPr>
                <w:ilvl w:val="0"/>
                <w:numId w:val="2"/>
              </w:numPr>
              <w:spacing w:line="360" w:lineRule="auto"/>
              <w:rPr>
                <w:b/>
                <w:bCs/>
                <w:szCs w:val="21"/>
              </w:rPr>
            </w:pPr>
            <w:r>
              <w:rPr>
                <w:b/>
                <w:bCs/>
                <w:szCs w:val="21"/>
              </w:rPr>
              <w:t>智能编程开发平台</w:t>
            </w:r>
          </w:p>
          <w:p>
            <w:pPr>
              <w:spacing w:line="360" w:lineRule="auto"/>
              <w:rPr>
                <w:b/>
                <w:bCs/>
                <w:szCs w:val="21"/>
              </w:rPr>
            </w:pPr>
            <w:r>
              <w:rPr>
                <w:rFonts w:hint="eastAsia"/>
                <w:b/>
                <w:bCs/>
                <w:szCs w:val="21"/>
              </w:rPr>
              <w:t>6.1</w:t>
            </w:r>
            <w:r>
              <w:rPr>
                <w:b/>
                <w:bCs/>
                <w:szCs w:val="21"/>
              </w:rPr>
              <w:t>主控编程计算机技术参数</w:t>
            </w:r>
          </w:p>
          <w:p>
            <w:pPr>
              <w:pStyle w:val="86"/>
              <w:numPr>
                <w:ilvl w:val="0"/>
                <w:numId w:val="21"/>
              </w:numPr>
              <w:ind w:firstLineChars="0"/>
              <w:rPr>
                <w:szCs w:val="21"/>
              </w:rPr>
            </w:pPr>
            <w:r>
              <w:rPr>
                <w:szCs w:val="21"/>
              </w:rPr>
              <w:t>显示器：</w:t>
            </w:r>
            <w:r>
              <w:rPr>
                <w:rFonts w:ascii="Arial" w:hAnsi="Arial" w:cs="Arial"/>
                <w:szCs w:val="21"/>
              </w:rPr>
              <w:t>≥</w:t>
            </w:r>
            <w:r>
              <w:rPr>
                <w:szCs w:val="21"/>
              </w:rPr>
              <w:t>21.5英寸</w:t>
            </w:r>
          </w:p>
          <w:p>
            <w:pPr>
              <w:pStyle w:val="86"/>
              <w:numPr>
                <w:ilvl w:val="0"/>
                <w:numId w:val="21"/>
              </w:numPr>
              <w:ind w:firstLineChars="0"/>
              <w:rPr>
                <w:szCs w:val="21"/>
              </w:rPr>
            </w:pPr>
            <w:r>
              <w:rPr>
                <w:szCs w:val="21"/>
              </w:rPr>
              <w:t>处理器：</w:t>
            </w:r>
            <w:r>
              <w:rPr>
                <w:rFonts w:hint="eastAsia"/>
                <w:szCs w:val="21"/>
              </w:rPr>
              <w:t>不低于</w:t>
            </w:r>
            <w:r>
              <w:rPr>
                <w:szCs w:val="21"/>
              </w:rPr>
              <w:t>I5</w:t>
            </w:r>
          </w:p>
          <w:p>
            <w:pPr>
              <w:pStyle w:val="86"/>
              <w:numPr>
                <w:ilvl w:val="0"/>
                <w:numId w:val="21"/>
              </w:numPr>
              <w:ind w:firstLineChars="0"/>
              <w:rPr>
                <w:szCs w:val="21"/>
              </w:rPr>
            </w:pPr>
            <w:r>
              <w:rPr>
                <w:szCs w:val="21"/>
              </w:rPr>
              <w:t>内存：</w:t>
            </w:r>
            <w:r>
              <w:rPr>
                <w:rFonts w:ascii="Arial" w:hAnsi="Arial" w:cs="Arial"/>
                <w:szCs w:val="21"/>
              </w:rPr>
              <w:t>≥</w:t>
            </w:r>
            <w:r>
              <w:rPr>
                <w:szCs w:val="21"/>
              </w:rPr>
              <w:t>16GB</w:t>
            </w:r>
          </w:p>
          <w:p>
            <w:pPr>
              <w:pStyle w:val="86"/>
              <w:numPr>
                <w:ilvl w:val="0"/>
                <w:numId w:val="21"/>
              </w:numPr>
              <w:ind w:firstLineChars="0"/>
              <w:rPr>
                <w:szCs w:val="21"/>
              </w:rPr>
            </w:pPr>
            <w:r>
              <w:rPr>
                <w:szCs w:val="21"/>
              </w:rPr>
              <w:t>固态硬盘：</w:t>
            </w:r>
            <w:r>
              <w:rPr>
                <w:rFonts w:ascii="Arial" w:hAnsi="Arial" w:cs="Arial"/>
                <w:szCs w:val="21"/>
              </w:rPr>
              <w:t>≥</w:t>
            </w:r>
            <w:r>
              <w:rPr>
                <w:szCs w:val="21"/>
              </w:rPr>
              <w:t>256GB</w:t>
            </w:r>
          </w:p>
          <w:p>
            <w:pPr>
              <w:pStyle w:val="86"/>
              <w:numPr>
                <w:ilvl w:val="0"/>
                <w:numId w:val="21"/>
              </w:numPr>
              <w:ind w:firstLineChars="0"/>
              <w:rPr>
                <w:szCs w:val="21"/>
              </w:rPr>
            </w:pPr>
            <w:r>
              <w:rPr>
                <w:szCs w:val="21"/>
              </w:rPr>
              <w:t>机械硬盘：</w:t>
            </w:r>
            <w:r>
              <w:rPr>
                <w:rFonts w:ascii="Arial" w:hAnsi="Arial" w:cs="Arial"/>
                <w:szCs w:val="21"/>
              </w:rPr>
              <w:t>≥</w:t>
            </w:r>
            <w:r>
              <w:rPr>
                <w:szCs w:val="21"/>
              </w:rPr>
              <w:t>1TB</w:t>
            </w:r>
          </w:p>
          <w:p>
            <w:pPr>
              <w:pStyle w:val="86"/>
              <w:numPr>
                <w:ilvl w:val="0"/>
                <w:numId w:val="21"/>
              </w:numPr>
              <w:ind w:firstLineChars="0"/>
              <w:rPr>
                <w:szCs w:val="21"/>
              </w:rPr>
            </w:pPr>
            <w:r>
              <w:rPr>
                <w:szCs w:val="21"/>
              </w:rPr>
              <w:t>显卡：</w:t>
            </w:r>
            <w:r>
              <w:rPr>
                <w:rFonts w:ascii="Arial" w:hAnsi="Arial" w:cs="Arial"/>
                <w:szCs w:val="21"/>
              </w:rPr>
              <w:t>≥</w:t>
            </w:r>
            <w:r>
              <w:rPr>
                <w:szCs w:val="21"/>
              </w:rPr>
              <w:t>4GB独显</w:t>
            </w:r>
          </w:p>
          <w:p>
            <w:pPr>
              <w:pStyle w:val="86"/>
              <w:numPr>
                <w:ilvl w:val="0"/>
                <w:numId w:val="21"/>
              </w:numPr>
              <w:ind w:firstLineChars="0"/>
              <w:rPr>
                <w:szCs w:val="21"/>
              </w:rPr>
            </w:pPr>
            <w:r>
              <w:rPr>
                <w:szCs w:val="21"/>
              </w:rPr>
              <w:t>系统：Ubuntu64位版本，能流畅使用相关工程软件</w:t>
            </w:r>
          </w:p>
          <w:p>
            <w:pPr>
              <w:pStyle w:val="86"/>
              <w:numPr>
                <w:ilvl w:val="0"/>
                <w:numId w:val="21"/>
              </w:numPr>
              <w:ind w:firstLineChars="0"/>
              <w:rPr>
                <w:szCs w:val="21"/>
              </w:rPr>
            </w:pPr>
            <w:r>
              <w:rPr>
                <w:szCs w:val="21"/>
              </w:rPr>
              <w:t>主要用途：用于编程任务的实现及机器人软件的使用</w:t>
            </w:r>
          </w:p>
          <w:p>
            <w:pPr>
              <w:pStyle w:val="86"/>
              <w:numPr>
                <w:ilvl w:val="0"/>
                <w:numId w:val="21"/>
              </w:numPr>
              <w:ind w:firstLineChars="0"/>
              <w:rPr>
                <w:szCs w:val="21"/>
              </w:rPr>
            </w:pPr>
            <w:r>
              <w:rPr>
                <w:szCs w:val="21"/>
              </w:rPr>
              <w:t>电脑桌尺寸（长×宽×高）：</w:t>
            </w:r>
            <w:r>
              <w:rPr>
                <w:rFonts w:hint="eastAsia"/>
                <w:szCs w:val="21"/>
              </w:rPr>
              <w:t>不低于</w:t>
            </w:r>
            <w:r>
              <w:rPr>
                <w:szCs w:val="21"/>
              </w:rPr>
              <w:t>700×600×750mm</w:t>
            </w:r>
          </w:p>
          <w:p>
            <w:pPr>
              <w:pStyle w:val="86"/>
              <w:numPr>
                <w:ilvl w:val="0"/>
                <w:numId w:val="21"/>
              </w:numPr>
              <w:ind w:firstLineChars="0"/>
              <w:rPr>
                <w:szCs w:val="21"/>
              </w:rPr>
            </w:pPr>
            <w:r>
              <w:rPr>
                <w:szCs w:val="21"/>
              </w:rPr>
              <w:t>配套方凳尺寸（长×宽×高）：</w:t>
            </w:r>
            <w:r>
              <w:rPr>
                <w:rFonts w:hint="eastAsia"/>
                <w:szCs w:val="21"/>
              </w:rPr>
              <w:t>不低于</w:t>
            </w:r>
            <w:r>
              <w:rPr>
                <w:szCs w:val="21"/>
              </w:rPr>
              <w:t>340×240×420mm</w:t>
            </w:r>
          </w:p>
          <w:p>
            <w:pPr>
              <w:rPr>
                <w:szCs w:val="21"/>
              </w:rPr>
            </w:pPr>
            <w:r>
              <w:rPr>
                <w:szCs w:val="21"/>
              </w:rPr>
              <w:t xml:space="preserve"> </w:t>
            </w:r>
          </w:p>
          <w:p>
            <w:pPr>
              <w:spacing w:line="360" w:lineRule="auto"/>
              <w:rPr>
                <w:b/>
                <w:bCs/>
                <w:szCs w:val="21"/>
              </w:rPr>
            </w:pPr>
            <w:r>
              <w:rPr>
                <w:rFonts w:hint="eastAsia"/>
                <w:b/>
                <w:bCs/>
                <w:szCs w:val="21"/>
              </w:rPr>
              <w:t>6.2</w:t>
            </w:r>
            <w:r>
              <w:rPr>
                <w:b/>
                <w:bCs/>
                <w:szCs w:val="21"/>
              </w:rPr>
              <w:t>编程计算机技术参数</w:t>
            </w:r>
          </w:p>
          <w:p>
            <w:pPr>
              <w:numPr>
                <w:ilvl w:val="0"/>
                <w:numId w:val="22"/>
              </w:numPr>
              <w:rPr>
                <w:szCs w:val="21"/>
              </w:rPr>
            </w:pPr>
            <w:r>
              <w:rPr>
                <w:szCs w:val="21"/>
              </w:rPr>
              <w:t>显示器：</w:t>
            </w:r>
            <w:r>
              <w:rPr>
                <w:rFonts w:ascii="Arial" w:hAnsi="Arial" w:cs="Arial"/>
                <w:szCs w:val="21"/>
              </w:rPr>
              <w:t>≥</w:t>
            </w:r>
            <w:r>
              <w:rPr>
                <w:szCs w:val="21"/>
              </w:rPr>
              <w:t>21.5英寸</w:t>
            </w:r>
          </w:p>
          <w:p>
            <w:pPr>
              <w:numPr>
                <w:ilvl w:val="0"/>
                <w:numId w:val="22"/>
              </w:numPr>
              <w:rPr>
                <w:szCs w:val="21"/>
              </w:rPr>
            </w:pPr>
            <w:r>
              <w:rPr>
                <w:szCs w:val="21"/>
              </w:rPr>
              <w:t>处理器：</w:t>
            </w:r>
            <w:r>
              <w:rPr>
                <w:rFonts w:hint="eastAsia"/>
                <w:szCs w:val="21"/>
              </w:rPr>
              <w:t>不低于</w:t>
            </w:r>
            <w:r>
              <w:rPr>
                <w:szCs w:val="21"/>
              </w:rPr>
              <w:t>I5</w:t>
            </w:r>
          </w:p>
          <w:p>
            <w:pPr>
              <w:numPr>
                <w:ilvl w:val="0"/>
                <w:numId w:val="22"/>
              </w:numPr>
              <w:rPr>
                <w:szCs w:val="21"/>
              </w:rPr>
            </w:pPr>
            <w:r>
              <w:rPr>
                <w:szCs w:val="21"/>
              </w:rPr>
              <w:t>内存：</w:t>
            </w:r>
            <w:r>
              <w:rPr>
                <w:rFonts w:ascii="Arial" w:hAnsi="Arial" w:cs="Arial"/>
                <w:szCs w:val="21"/>
              </w:rPr>
              <w:t>≥</w:t>
            </w:r>
            <w:r>
              <w:rPr>
                <w:szCs w:val="21"/>
              </w:rPr>
              <w:t>8GB</w:t>
            </w:r>
          </w:p>
          <w:p>
            <w:pPr>
              <w:numPr>
                <w:ilvl w:val="0"/>
                <w:numId w:val="22"/>
              </w:numPr>
              <w:rPr>
                <w:szCs w:val="21"/>
              </w:rPr>
            </w:pPr>
            <w:r>
              <w:rPr>
                <w:szCs w:val="21"/>
              </w:rPr>
              <w:t>固态硬盘：</w:t>
            </w:r>
            <w:r>
              <w:rPr>
                <w:rFonts w:ascii="Arial" w:hAnsi="Arial" w:cs="Arial"/>
                <w:szCs w:val="21"/>
              </w:rPr>
              <w:t>≥</w:t>
            </w:r>
            <w:r>
              <w:rPr>
                <w:szCs w:val="21"/>
              </w:rPr>
              <w:t>256GB</w:t>
            </w:r>
          </w:p>
          <w:p>
            <w:pPr>
              <w:numPr>
                <w:ilvl w:val="0"/>
                <w:numId w:val="22"/>
              </w:numPr>
              <w:rPr>
                <w:szCs w:val="21"/>
              </w:rPr>
            </w:pPr>
            <w:r>
              <w:rPr>
                <w:szCs w:val="21"/>
              </w:rPr>
              <w:t>机械硬盘：</w:t>
            </w:r>
            <w:r>
              <w:rPr>
                <w:rFonts w:ascii="Arial" w:hAnsi="Arial" w:cs="Arial"/>
                <w:szCs w:val="21"/>
              </w:rPr>
              <w:t>≥</w:t>
            </w:r>
            <w:r>
              <w:rPr>
                <w:szCs w:val="21"/>
              </w:rPr>
              <w:t>1TB</w:t>
            </w:r>
          </w:p>
          <w:p>
            <w:pPr>
              <w:numPr>
                <w:ilvl w:val="0"/>
                <w:numId w:val="22"/>
              </w:numPr>
              <w:rPr>
                <w:szCs w:val="21"/>
              </w:rPr>
            </w:pPr>
            <w:r>
              <w:rPr>
                <w:szCs w:val="21"/>
              </w:rPr>
              <w:t>显卡：</w:t>
            </w:r>
            <w:r>
              <w:rPr>
                <w:rFonts w:ascii="Arial" w:hAnsi="Arial" w:cs="Arial"/>
                <w:szCs w:val="21"/>
              </w:rPr>
              <w:t>≥</w:t>
            </w:r>
            <w:r>
              <w:rPr>
                <w:szCs w:val="21"/>
              </w:rPr>
              <w:t>6GB独显</w:t>
            </w:r>
          </w:p>
          <w:p>
            <w:pPr>
              <w:numPr>
                <w:ilvl w:val="0"/>
                <w:numId w:val="22"/>
              </w:numPr>
              <w:rPr>
                <w:szCs w:val="21"/>
              </w:rPr>
            </w:pPr>
            <w:r>
              <w:rPr>
                <w:szCs w:val="21"/>
              </w:rPr>
              <w:t>系统：Ubuntu64位版本，能流畅使用相关工程软件</w:t>
            </w:r>
          </w:p>
          <w:p>
            <w:pPr>
              <w:numPr>
                <w:ilvl w:val="0"/>
                <w:numId w:val="22"/>
              </w:numPr>
              <w:rPr>
                <w:szCs w:val="21"/>
              </w:rPr>
            </w:pPr>
            <w:r>
              <w:rPr>
                <w:szCs w:val="21"/>
              </w:rPr>
              <w:t>主要用途：用于视觉编程软件的使用</w:t>
            </w:r>
          </w:p>
          <w:p>
            <w:pPr>
              <w:numPr>
                <w:ilvl w:val="0"/>
                <w:numId w:val="22"/>
              </w:numPr>
              <w:rPr>
                <w:szCs w:val="21"/>
              </w:rPr>
            </w:pPr>
            <w:r>
              <w:rPr>
                <w:szCs w:val="21"/>
              </w:rPr>
              <w:t>电脑桌尺寸（长×宽×高）：</w:t>
            </w:r>
            <w:r>
              <w:rPr>
                <w:rFonts w:hint="eastAsia"/>
                <w:szCs w:val="21"/>
              </w:rPr>
              <w:t>不低于</w:t>
            </w:r>
            <w:r>
              <w:rPr>
                <w:szCs w:val="21"/>
              </w:rPr>
              <w:t>700×600×750mm</w:t>
            </w:r>
          </w:p>
          <w:p>
            <w:pPr>
              <w:numPr>
                <w:ilvl w:val="0"/>
                <w:numId w:val="22"/>
              </w:numPr>
              <w:rPr>
                <w:szCs w:val="21"/>
              </w:rPr>
            </w:pPr>
            <w:r>
              <w:rPr>
                <w:szCs w:val="21"/>
              </w:rPr>
              <w:t>配套方凳尺寸（长×宽×高）：</w:t>
            </w:r>
            <w:r>
              <w:rPr>
                <w:rFonts w:hint="eastAsia"/>
                <w:szCs w:val="21"/>
              </w:rPr>
              <w:t>不低于</w:t>
            </w:r>
            <w:r>
              <w:rPr>
                <w:szCs w:val="21"/>
              </w:rPr>
              <w:t>340×240×420mm</w:t>
            </w:r>
          </w:p>
          <w:p>
            <w:pPr>
              <w:rPr>
                <w:szCs w:val="21"/>
              </w:rPr>
            </w:pPr>
            <w:r>
              <w:rPr>
                <w:szCs w:val="21"/>
              </w:rPr>
              <w:t xml:space="preserve"> </w:t>
            </w:r>
          </w:p>
          <w:p>
            <w:pPr>
              <w:numPr>
                <w:ilvl w:val="0"/>
                <w:numId w:val="2"/>
              </w:numPr>
              <w:spacing w:line="360" w:lineRule="auto"/>
              <w:rPr>
                <w:b/>
                <w:bCs/>
                <w:szCs w:val="21"/>
              </w:rPr>
            </w:pPr>
            <w:r>
              <w:rPr>
                <w:b/>
                <w:bCs/>
                <w:szCs w:val="21"/>
              </w:rPr>
              <w:t>可视化系统及显示终端技术参数</w:t>
            </w:r>
          </w:p>
          <w:p>
            <w:pPr>
              <w:numPr>
                <w:ilvl w:val="0"/>
                <w:numId w:val="23"/>
              </w:numPr>
              <w:rPr>
                <w:szCs w:val="21"/>
              </w:rPr>
            </w:pPr>
            <w:r>
              <w:rPr>
                <w:szCs w:val="21"/>
              </w:rPr>
              <w:t>型号：55H55E</w:t>
            </w:r>
          </w:p>
          <w:p>
            <w:pPr>
              <w:numPr>
                <w:ilvl w:val="0"/>
                <w:numId w:val="23"/>
              </w:numPr>
              <w:rPr>
                <w:szCs w:val="21"/>
              </w:rPr>
            </w:pPr>
            <w:r>
              <w:rPr>
                <w:szCs w:val="21"/>
              </w:rPr>
              <w:t>屏幕尺寸：</w:t>
            </w:r>
            <w:r>
              <w:rPr>
                <w:rFonts w:hint="eastAsia"/>
                <w:szCs w:val="21"/>
              </w:rPr>
              <w:t>不低于</w:t>
            </w:r>
            <w:r>
              <w:rPr>
                <w:szCs w:val="21"/>
              </w:rPr>
              <w:t>55英寸</w:t>
            </w:r>
          </w:p>
          <w:p>
            <w:pPr>
              <w:numPr>
                <w:ilvl w:val="0"/>
                <w:numId w:val="23"/>
              </w:numPr>
              <w:rPr>
                <w:szCs w:val="21"/>
              </w:rPr>
            </w:pPr>
            <w:r>
              <w:rPr>
                <w:szCs w:val="21"/>
              </w:rPr>
              <w:t>屏幕比例：16:9</w:t>
            </w:r>
          </w:p>
          <w:p>
            <w:pPr>
              <w:numPr>
                <w:ilvl w:val="0"/>
                <w:numId w:val="23"/>
              </w:numPr>
              <w:rPr>
                <w:szCs w:val="21"/>
              </w:rPr>
            </w:pPr>
            <w:r>
              <w:rPr>
                <w:szCs w:val="21"/>
              </w:rPr>
              <w:t>屏幕分辨率：3840×2160</w:t>
            </w:r>
          </w:p>
          <w:p>
            <w:pPr>
              <w:numPr>
                <w:ilvl w:val="0"/>
                <w:numId w:val="23"/>
              </w:numPr>
              <w:rPr>
                <w:szCs w:val="21"/>
              </w:rPr>
            </w:pPr>
            <w:r>
              <w:rPr>
                <w:szCs w:val="21"/>
              </w:rPr>
              <w:t>存储：</w:t>
            </w:r>
            <w:r>
              <w:rPr>
                <w:rFonts w:ascii="Arial" w:hAnsi="Arial" w:cs="Arial"/>
                <w:szCs w:val="21"/>
              </w:rPr>
              <w:t>≥</w:t>
            </w:r>
            <w:r>
              <w:rPr>
                <w:szCs w:val="21"/>
              </w:rPr>
              <w:t>8GB</w:t>
            </w:r>
          </w:p>
          <w:p>
            <w:pPr>
              <w:numPr>
                <w:ilvl w:val="0"/>
                <w:numId w:val="23"/>
              </w:numPr>
              <w:rPr>
                <w:szCs w:val="21"/>
              </w:rPr>
            </w:pPr>
            <w:r>
              <w:rPr>
                <w:szCs w:val="21"/>
              </w:rPr>
              <w:t>内存：</w:t>
            </w:r>
            <w:r>
              <w:rPr>
                <w:rFonts w:ascii="Arial" w:hAnsi="Arial" w:cs="Arial"/>
                <w:szCs w:val="21"/>
              </w:rPr>
              <w:t>≥</w:t>
            </w:r>
            <w:r>
              <w:rPr>
                <w:szCs w:val="21"/>
              </w:rPr>
              <w:t>1.5GB</w:t>
            </w:r>
          </w:p>
          <w:p>
            <w:pPr>
              <w:numPr>
                <w:ilvl w:val="0"/>
                <w:numId w:val="23"/>
              </w:numPr>
              <w:rPr>
                <w:szCs w:val="21"/>
              </w:rPr>
            </w:pPr>
            <w:r>
              <w:rPr>
                <w:szCs w:val="21"/>
              </w:rPr>
              <w:t>输入端口：HDMI接口,USB接口</w:t>
            </w:r>
          </w:p>
          <w:p>
            <w:pPr>
              <w:numPr>
                <w:ilvl w:val="0"/>
                <w:numId w:val="23"/>
              </w:numPr>
              <w:rPr>
                <w:szCs w:val="21"/>
              </w:rPr>
            </w:pPr>
            <w:r>
              <w:rPr>
                <w:szCs w:val="21"/>
              </w:rPr>
              <w:t>其他接口类型：网络接口</w:t>
            </w:r>
          </w:p>
          <w:p>
            <w:pPr>
              <w:rPr>
                <w:szCs w:val="21"/>
              </w:rPr>
            </w:pPr>
            <w:r>
              <w:rPr>
                <w:szCs w:val="21"/>
              </w:rPr>
              <w:t xml:space="preserve"> </w:t>
            </w:r>
          </w:p>
          <w:p>
            <w:pPr>
              <w:numPr>
                <w:ilvl w:val="0"/>
                <w:numId w:val="2"/>
              </w:numPr>
              <w:spacing w:line="360" w:lineRule="auto"/>
              <w:rPr>
                <w:b/>
                <w:bCs/>
                <w:szCs w:val="21"/>
              </w:rPr>
            </w:pPr>
            <w:r>
              <w:rPr>
                <w:b/>
                <w:bCs/>
                <w:szCs w:val="21"/>
              </w:rPr>
              <w:t>安全防护栏技术参数</w:t>
            </w:r>
          </w:p>
          <w:p>
            <w:pPr>
              <w:numPr>
                <w:ilvl w:val="0"/>
                <w:numId w:val="24"/>
              </w:numPr>
              <w:rPr>
                <w:szCs w:val="21"/>
              </w:rPr>
            </w:pPr>
            <w:r>
              <w:rPr>
                <w:szCs w:val="21"/>
              </w:rPr>
              <w:t>整体尺寸（总长×高）：</w:t>
            </w:r>
            <w:r>
              <w:rPr>
                <w:rFonts w:hint="eastAsia"/>
                <w:szCs w:val="21"/>
              </w:rPr>
              <w:t>不低于</w:t>
            </w:r>
            <w:r>
              <w:rPr>
                <w:szCs w:val="21"/>
              </w:rPr>
              <w:t>20000×1300mm</w:t>
            </w:r>
          </w:p>
          <w:p>
            <w:pPr>
              <w:numPr>
                <w:ilvl w:val="0"/>
                <w:numId w:val="24"/>
              </w:numPr>
              <w:rPr>
                <w:szCs w:val="21"/>
              </w:rPr>
            </w:pPr>
            <w:r>
              <w:rPr>
                <w:szCs w:val="21"/>
              </w:rPr>
              <w:t>单片防护栏尺寸：</w:t>
            </w:r>
            <w:r>
              <w:rPr>
                <w:rFonts w:hint="eastAsia"/>
                <w:szCs w:val="21"/>
              </w:rPr>
              <w:t>不低于</w:t>
            </w:r>
            <w:r>
              <w:rPr>
                <w:szCs w:val="21"/>
              </w:rPr>
              <w:t>930×30×1160mm</w:t>
            </w:r>
          </w:p>
          <w:p>
            <w:pPr>
              <w:numPr>
                <w:ilvl w:val="0"/>
                <w:numId w:val="24"/>
              </w:numPr>
              <w:rPr>
                <w:szCs w:val="21"/>
              </w:rPr>
            </w:pPr>
            <w:r>
              <w:rPr>
                <w:szCs w:val="21"/>
              </w:rPr>
              <w:t>防护栏材质：Q235A</w:t>
            </w:r>
          </w:p>
          <w:p>
            <w:pPr>
              <w:numPr>
                <w:ilvl w:val="0"/>
                <w:numId w:val="24"/>
              </w:numPr>
              <w:rPr>
                <w:szCs w:val="21"/>
              </w:rPr>
            </w:pPr>
            <w:r>
              <w:rPr>
                <w:szCs w:val="21"/>
              </w:rPr>
              <w:t>颜色及表面处理：黄色防锈漆</w:t>
            </w:r>
          </w:p>
          <w:p>
            <w:pPr>
              <w:numPr>
                <w:ilvl w:val="0"/>
                <w:numId w:val="24"/>
              </w:numPr>
              <w:rPr>
                <w:szCs w:val="21"/>
              </w:rPr>
            </w:pPr>
            <w:r>
              <w:rPr>
                <w:szCs w:val="21"/>
              </w:rPr>
              <w:t>安全要求：安装磁性开关</w:t>
            </w:r>
          </w:p>
          <w:p>
            <w:pPr>
              <w:rPr>
                <w:szCs w:val="21"/>
              </w:rPr>
            </w:pPr>
            <w:r>
              <w:rPr>
                <w:szCs w:val="21"/>
              </w:rPr>
              <w:t xml:space="preserve"> </w:t>
            </w:r>
          </w:p>
          <w:p>
            <w:pPr>
              <w:numPr>
                <w:ilvl w:val="0"/>
                <w:numId w:val="2"/>
              </w:numPr>
              <w:spacing w:line="360" w:lineRule="auto"/>
              <w:rPr>
                <w:b/>
                <w:bCs/>
                <w:szCs w:val="21"/>
              </w:rPr>
            </w:pPr>
            <w:r>
              <w:rPr>
                <w:b/>
                <w:bCs/>
                <w:szCs w:val="21"/>
              </w:rPr>
              <w:t>备品备件与装调工具</w:t>
            </w:r>
          </w:p>
          <w:p>
            <w:pPr>
              <w:rPr>
                <w:color w:val="000000" w:themeColor="text1"/>
                <w:szCs w:val="21"/>
              </w:rPr>
            </w:pPr>
            <w:r>
              <w:rPr>
                <w:szCs w:val="21"/>
              </w:rPr>
              <w:t>平台配套完备的备品备件与装调工具供用户使用</w:t>
            </w:r>
            <w:r>
              <w:rPr>
                <w:color w:val="000000" w:themeColor="text1"/>
                <w:szCs w:val="21"/>
              </w:rPr>
              <w:t>。</w:t>
            </w:r>
          </w:p>
          <w:p>
            <w:pPr>
              <w:pStyle w:val="86"/>
              <w:numPr>
                <w:ilvl w:val="0"/>
                <w:numId w:val="25"/>
              </w:numPr>
              <w:ind w:firstLineChars="0"/>
              <w:rPr>
                <w:szCs w:val="21"/>
              </w:rPr>
            </w:pPr>
            <w:r>
              <w:rPr>
                <w:szCs w:val="21"/>
              </w:rPr>
              <w:t>芳纶绳：配套：</w:t>
            </w:r>
            <w:r>
              <w:rPr>
                <w:rFonts w:ascii="Arial" w:hAnsi="Arial" w:cs="Arial"/>
                <w:szCs w:val="21"/>
              </w:rPr>
              <w:t>≥</w:t>
            </w:r>
            <w:r>
              <w:rPr>
                <w:szCs w:val="21"/>
              </w:rPr>
              <w:t>6米</w:t>
            </w:r>
          </w:p>
          <w:p>
            <w:pPr>
              <w:pStyle w:val="86"/>
              <w:numPr>
                <w:ilvl w:val="0"/>
                <w:numId w:val="25"/>
              </w:numPr>
              <w:ind w:firstLineChars="0"/>
              <w:rPr>
                <w:szCs w:val="21"/>
              </w:rPr>
            </w:pPr>
            <w:r>
              <w:rPr>
                <w:szCs w:val="21"/>
              </w:rPr>
              <w:t>24V锂电池组：配套：1套</w:t>
            </w:r>
          </w:p>
          <w:p>
            <w:pPr>
              <w:pStyle w:val="86"/>
              <w:numPr>
                <w:ilvl w:val="0"/>
                <w:numId w:val="25"/>
              </w:numPr>
              <w:ind w:firstLineChars="0"/>
              <w:rPr>
                <w:szCs w:val="21"/>
              </w:rPr>
            </w:pPr>
            <w:r>
              <w:rPr>
                <w:szCs w:val="21"/>
              </w:rPr>
              <w:t>工具箱：配套：1个</w:t>
            </w:r>
          </w:p>
          <w:p>
            <w:pPr>
              <w:pStyle w:val="86"/>
              <w:numPr>
                <w:ilvl w:val="0"/>
                <w:numId w:val="25"/>
              </w:numPr>
              <w:ind w:firstLineChars="0"/>
              <w:rPr>
                <w:szCs w:val="21"/>
              </w:rPr>
            </w:pPr>
            <w:r>
              <w:rPr>
                <w:szCs w:val="21"/>
              </w:rPr>
              <w:t>内六角扳手：配套：1套</w:t>
            </w:r>
          </w:p>
          <w:p>
            <w:pPr>
              <w:pStyle w:val="86"/>
              <w:numPr>
                <w:ilvl w:val="0"/>
                <w:numId w:val="25"/>
              </w:numPr>
              <w:ind w:firstLineChars="0"/>
              <w:rPr>
                <w:szCs w:val="21"/>
              </w:rPr>
            </w:pPr>
            <w:r>
              <w:rPr>
                <w:szCs w:val="21"/>
              </w:rPr>
              <w:t>螺丝刀：一字与十字：1套</w:t>
            </w:r>
          </w:p>
          <w:p>
            <w:pPr>
              <w:pStyle w:val="86"/>
              <w:numPr>
                <w:ilvl w:val="0"/>
                <w:numId w:val="25"/>
              </w:numPr>
              <w:ind w:firstLineChars="0"/>
              <w:rPr>
                <w:szCs w:val="21"/>
              </w:rPr>
            </w:pPr>
            <w:r>
              <w:rPr>
                <w:szCs w:val="21"/>
              </w:rPr>
              <w:t>尖嘴钳：配套：1把</w:t>
            </w:r>
          </w:p>
          <w:p>
            <w:pPr>
              <w:pStyle w:val="86"/>
              <w:numPr>
                <w:ilvl w:val="0"/>
                <w:numId w:val="25"/>
              </w:numPr>
              <w:ind w:firstLineChars="0"/>
              <w:rPr>
                <w:szCs w:val="21"/>
              </w:rPr>
            </w:pPr>
            <w:r>
              <w:rPr>
                <w:szCs w:val="21"/>
              </w:rPr>
              <w:t>活扳手：配套：1把</w:t>
            </w:r>
          </w:p>
          <w:p>
            <w:pPr>
              <w:pStyle w:val="86"/>
              <w:numPr>
                <w:ilvl w:val="0"/>
                <w:numId w:val="25"/>
              </w:numPr>
              <w:ind w:firstLineChars="0"/>
              <w:rPr>
                <w:szCs w:val="21"/>
              </w:rPr>
            </w:pPr>
            <w:r>
              <w:rPr>
                <w:szCs w:val="21"/>
              </w:rPr>
              <w:t>斜口钳：配套：1把</w:t>
            </w:r>
          </w:p>
          <w:p>
            <w:pPr>
              <w:rPr>
                <w:b/>
                <w:szCs w:val="21"/>
              </w:rPr>
            </w:pPr>
          </w:p>
          <w:p>
            <w:pPr>
              <w:numPr>
                <w:ilvl w:val="0"/>
                <w:numId w:val="2"/>
              </w:numPr>
              <w:spacing w:line="360" w:lineRule="auto"/>
              <w:rPr>
                <w:b/>
                <w:bCs/>
                <w:szCs w:val="21"/>
              </w:rPr>
            </w:pPr>
            <w:r>
              <w:rPr>
                <w:b/>
                <w:bCs/>
                <w:szCs w:val="21"/>
              </w:rPr>
              <w:t>实训项目与教学资源</w:t>
            </w:r>
          </w:p>
          <w:p>
            <w:pPr>
              <w:spacing w:line="360" w:lineRule="auto"/>
              <w:rPr>
                <w:b/>
                <w:bCs/>
                <w:szCs w:val="21"/>
              </w:rPr>
            </w:pPr>
            <w:r>
              <w:rPr>
                <w:rFonts w:hint="eastAsia"/>
                <w:b/>
                <w:bCs/>
                <w:szCs w:val="21"/>
              </w:rPr>
              <w:t>10.1</w:t>
            </w:r>
            <w:r>
              <w:rPr>
                <w:b/>
                <w:bCs/>
                <w:szCs w:val="21"/>
              </w:rPr>
              <w:t>主要实训项目</w:t>
            </w:r>
          </w:p>
          <w:p>
            <w:pPr>
              <w:pStyle w:val="86"/>
              <w:numPr>
                <w:ilvl w:val="0"/>
                <w:numId w:val="26"/>
              </w:numPr>
              <w:ind w:firstLineChars="0"/>
              <w:rPr>
                <w:szCs w:val="21"/>
              </w:rPr>
            </w:pPr>
            <w:r>
              <w:rPr>
                <w:szCs w:val="21"/>
              </w:rPr>
              <w:t>智能载运技术应用场景规划与设计</w:t>
            </w:r>
          </w:p>
          <w:p>
            <w:pPr>
              <w:pStyle w:val="86"/>
              <w:numPr>
                <w:ilvl w:val="0"/>
                <w:numId w:val="26"/>
              </w:numPr>
              <w:ind w:firstLineChars="0"/>
              <w:rPr>
                <w:szCs w:val="21"/>
              </w:rPr>
            </w:pPr>
            <w:r>
              <w:rPr>
                <w:szCs w:val="21"/>
              </w:rPr>
              <w:t>智能载运车辆组装与调试</w:t>
            </w:r>
          </w:p>
          <w:p>
            <w:pPr>
              <w:pStyle w:val="86"/>
              <w:numPr>
                <w:ilvl w:val="0"/>
                <w:numId w:val="26"/>
              </w:numPr>
              <w:ind w:firstLineChars="0"/>
              <w:rPr>
                <w:szCs w:val="21"/>
              </w:rPr>
            </w:pPr>
            <w:r>
              <w:rPr>
                <w:szCs w:val="21"/>
              </w:rPr>
              <w:t>智能载运系统组装与调试</w:t>
            </w:r>
          </w:p>
          <w:p>
            <w:pPr>
              <w:pStyle w:val="86"/>
              <w:numPr>
                <w:ilvl w:val="0"/>
                <w:numId w:val="26"/>
              </w:numPr>
              <w:ind w:firstLineChars="0"/>
              <w:rPr>
                <w:szCs w:val="21"/>
              </w:rPr>
            </w:pPr>
            <w:r>
              <w:rPr>
                <w:szCs w:val="21"/>
              </w:rPr>
              <w:t>智能载运车辆与装调设备联调</w:t>
            </w:r>
          </w:p>
          <w:p>
            <w:pPr>
              <w:pStyle w:val="86"/>
              <w:numPr>
                <w:ilvl w:val="0"/>
                <w:numId w:val="26"/>
              </w:numPr>
              <w:ind w:firstLineChars="0"/>
              <w:rPr>
                <w:szCs w:val="21"/>
              </w:rPr>
            </w:pPr>
            <w:r>
              <w:rPr>
                <w:szCs w:val="21"/>
              </w:rPr>
              <w:t>智能载运系统运维与控制</w:t>
            </w:r>
          </w:p>
          <w:p>
            <w:pPr>
              <w:spacing w:line="360" w:lineRule="auto"/>
              <w:rPr>
                <w:b/>
                <w:bCs/>
                <w:szCs w:val="21"/>
              </w:rPr>
            </w:pPr>
            <w:r>
              <w:rPr>
                <w:rFonts w:hint="eastAsia"/>
                <w:b/>
                <w:bCs/>
                <w:szCs w:val="21"/>
              </w:rPr>
              <w:t>10.2</w:t>
            </w:r>
            <w:r>
              <w:rPr>
                <w:b/>
                <w:bCs/>
                <w:szCs w:val="21"/>
              </w:rPr>
              <w:t>教学资源</w:t>
            </w:r>
          </w:p>
          <w:p>
            <w:pPr>
              <w:rPr>
                <w:bCs/>
                <w:szCs w:val="21"/>
              </w:rPr>
            </w:pPr>
            <w:r>
              <w:rPr>
                <w:bCs/>
                <w:szCs w:val="21"/>
              </w:rPr>
              <w:t>平台提供系统实训指导书、系统机械设备说明书、配套说明书等教学资源。</w:t>
            </w:r>
          </w:p>
        </w:tc>
        <w:tc>
          <w:tcPr>
            <w:tcW w:w="683" w:type="dxa"/>
            <w:vAlign w:val="center"/>
          </w:tcPr>
          <w:p>
            <w:pPr>
              <w:jc w:val="center"/>
              <w:rPr>
                <w:szCs w:val="21"/>
              </w:rPr>
            </w:pPr>
            <w:r>
              <w:rPr>
                <w:szCs w:val="21"/>
              </w:rPr>
              <w:t>1</w:t>
            </w:r>
          </w:p>
        </w:tc>
        <w:tc>
          <w:tcPr>
            <w:tcW w:w="709" w:type="dxa"/>
            <w:vAlign w:val="center"/>
          </w:tcPr>
          <w:p>
            <w:pPr>
              <w:jc w:val="center"/>
              <w:rPr>
                <w:szCs w:val="21"/>
              </w:rPr>
            </w:pPr>
            <w:r>
              <w:rPr>
                <w:szCs w:val="21"/>
              </w:rPr>
              <w:t>套</w:t>
            </w:r>
          </w:p>
        </w:tc>
      </w:tr>
    </w:tbl>
    <w:p>
      <w:pPr>
        <w:spacing w:line="500" w:lineRule="exact"/>
        <w:rPr>
          <w:rFonts w:asciiTheme="minorEastAsia" w:hAnsiTheme="minorEastAsia" w:eastAsiaTheme="minorEastAsia"/>
          <w:b/>
          <w:color w:val="000000" w:themeColor="text1"/>
          <w:sz w:val="24"/>
          <w:szCs w:val="24"/>
        </w:rPr>
      </w:pPr>
      <w:r>
        <w:rPr>
          <w:rFonts w:hint="eastAsia" w:ascii="宋体" w:hAnsi="宋体"/>
          <w:color w:val="000000" w:themeColor="text1"/>
          <w:sz w:val="24"/>
          <w:szCs w:val="24"/>
          <w:lang w:val="zh-TW"/>
        </w:rPr>
        <w:t>五、特别说明</w:t>
      </w:r>
      <w:bookmarkEnd w:id="75"/>
    </w:p>
    <w:p>
      <w:pPr>
        <w:spacing w:line="500" w:lineRule="exact"/>
        <w:rPr>
          <w:rFonts w:ascii="宋体" w:hAnsi="宋体"/>
          <w:color w:val="000000" w:themeColor="text1"/>
          <w:sz w:val="24"/>
          <w:szCs w:val="24"/>
        </w:rPr>
      </w:pPr>
      <w:r>
        <w:rPr>
          <w:rFonts w:hint="eastAsia" w:ascii="宋体" w:hAnsi="宋体"/>
          <w:color w:val="000000" w:themeColor="text1"/>
          <w:sz w:val="24"/>
          <w:szCs w:val="24"/>
        </w:rPr>
        <w:t>（1）响应商必须根据采购需求如实编写响应文件。在成交结果公示期间或成交后，如发现与其响应文件中的描述不一，采购人有权要求其限期改正或取消其中标资格，由此造成的损失由供应商承担。</w:t>
      </w:r>
    </w:p>
    <w:p>
      <w:pPr>
        <w:spacing w:line="500" w:lineRule="exact"/>
        <w:rPr>
          <w:rFonts w:ascii="宋体" w:hAnsi="宋体"/>
          <w:color w:val="000000" w:themeColor="text1"/>
          <w:sz w:val="24"/>
          <w:szCs w:val="24"/>
        </w:rPr>
      </w:pPr>
      <w:r>
        <w:rPr>
          <w:rFonts w:hint="eastAsia" w:ascii="宋体" w:hAnsi="宋体"/>
          <w:color w:val="000000" w:themeColor="text1"/>
          <w:sz w:val="24"/>
          <w:szCs w:val="24"/>
        </w:rPr>
        <w:t>（2）响应商不能低于成本价恶意报价。如成交后响应商在项目实施过程中产品质量经检测不符合要求，则采购人有权终止合同。</w:t>
      </w:r>
    </w:p>
    <w:p>
      <w:pPr>
        <w:rPr>
          <w:b/>
          <w:color w:val="000000" w:themeColor="text1"/>
          <w:sz w:val="32"/>
          <w:szCs w:val="32"/>
        </w:rPr>
      </w:pPr>
      <w:r>
        <w:rPr>
          <w:rFonts w:hint="eastAsia"/>
          <w:b/>
          <w:color w:val="000000" w:themeColor="text1"/>
          <w:sz w:val="32"/>
          <w:szCs w:val="32"/>
        </w:rPr>
        <w:br w:type="page"/>
      </w:r>
    </w:p>
    <w:p>
      <w:pPr>
        <w:spacing w:before="468" w:after="156"/>
        <w:ind w:left="7389" w:hanging="7389"/>
        <w:jc w:val="center"/>
        <w:outlineLvl w:val="0"/>
        <w:rPr>
          <w:b/>
          <w:color w:val="000000" w:themeColor="text1"/>
          <w:sz w:val="32"/>
          <w:szCs w:val="32"/>
        </w:rPr>
      </w:pPr>
      <w:r>
        <w:rPr>
          <w:rFonts w:hint="eastAsia"/>
          <w:b/>
          <w:color w:val="000000" w:themeColor="text1"/>
          <w:sz w:val="32"/>
          <w:szCs w:val="32"/>
        </w:rPr>
        <w:t>第四章 合同条款</w:t>
      </w:r>
      <w:bookmarkEnd w:id="64"/>
      <w:bookmarkEnd w:id="65"/>
    </w:p>
    <w:bookmarkEnd w:id="66"/>
    <w:bookmarkEnd w:id="67"/>
    <w:p>
      <w:pPr>
        <w:spacing w:line="500" w:lineRule="exact"/>
        <w:rPr>
          <w:rFonts w:ascii="宋体" w:hAnsi="宋体"/>
          <w:b/>
          <w:bCs/>
          <w:color w:val="000000" w:themeColor="text1"/>
          <w:sz w:val="32"/>
          <w:szCs w:val="32"/>
        </w:rPr>
      </w:pPr>
    </w:p>
    <w:p>
      <w:pPr>
        <w:spacing w:line="500" w:lineRule="exact"/>
        <w:rPr>
          <w:rFonts w:ascii="宋体" w:hAnsi="宋体"/>
          <w:b/>
          <w:bCs/>
          <w:color w:val="000000" w:themeColor="text1"/>
          <w:sz w:val="32"/>
          <w:szCs w:val="32"/>
        </w:rPr>
      </w:pPr>
    </w:p>
    <w:p>
      <w:pPr>
        <w:spacing w:line="500" w:lineRule="exact"/>
        <w:rPr>
          <w:rFonts w:ascii="宋体" w:hAnsi="宋体"/>
          <w:b/>
          <w:bCs/>
          <w:color w:val="000000" w:themeColor="text1"/>
          <w:sz w:val="28"/>
          <w:szCs w:val="28"/>
        </w:rPr>
      </w:pPr>
      <w:r>
        <w:rPr>
          <w:rFonts w:hint="eastAsia" w:ascii="宋体" w:hAnsi="宋体"/>
          <w:b/>
          <w:bCs/>
          <w:color w:val="000000" w:themeColor="text1"/>
          <w:sz w:val="28"/>
          <w:szCs w:val="28"/>
        </w:rPr>
        <w:t>采购人声明：</w:t>
      </w:r>
    </w:p>
    <w:p>
      <w:pPr>
        <w:spacing w:line="500" w:lineRule="exact"/>
        <w:ind w:firstLine="562" w:firstLineChars="200"/>
        <w:rPr>
          <w:rFonts w:ascii="宋体" w:hAnsi="宋体"/>
          <w:b/>
          <w:bCs/>
          <w:color w:val="000000" w:themeColor="text1"/>
          <w:sz w:val="28"/>
          <w:szCs w:val="28"/>
        </w:rPr>
      </w:pPr>
      <w:r>
        <w:rPr>
          <w:rFonts w:hint="eastAsia" w:ascii="宋体" w:hAnsi="宋体"/>
          <w:b/>
          <w:bCs/>
          <w:color w:val="000000" w:themeColor="text1"/>
          <w:sz w:val="28"/>
          <w:szCs w:val="28"/>
        </w:rPr>
        <w:t>本合同标的经校内采购部门依法定程序采购，最终有效合同以双方签字盖章生效版本为准。</w:t>
      </w:r>
    </w:p>
    <w:p>
      <w:pPr>
        <w:rPr>
          <w:b/>
          <w:bCs/>
          <w:color w:val="000000" w:themeColor="text1"/>
          <w:sz w:val="28"/>
          <w:szCs w:val="28"/>
        </w:rPr>
      </w:pPr>
      <w:r>
        <w:rPr>
          <w:rFonts w:hint="eastAsia"/>
          <w:b/>
          <w:bCs/>
          <w:color w:val="000000" w:themeColor="text1"/>
          <w:sz w:val="28"/>
          <w:szCs w:val="28"/>
        </w:rPr>
        <w:br w:type="page"/>
      </w:r>
    </w:p>
    <w:p>
      <w:pPr>
        <w:spacing w:before="156" w:after="156"/>
        <w:jc w:val="center"/>
        <w:outlineLvl w:val="0"/>
        <w:rPr>
          <w:b/>
          <w:color w:val="000000" w:themeColor="text1"/>
          <w:sz w:val="32"/>
          <w:szCs w:val="32"/>
        </w:rPr>
      </w:pPr>
      <w:r>
        <w:rPr>
          <w:rFonts w:hint="eastAsia"/>
          <w:b/>
          <w:color w:val="000000" w:themeColor="text1"/>
          <w:sz w:val="32"/>
          <w:szCs w:val="32"/>
        </w:rPr>
        <w:t>第五章 响应文件格式</w:t>
      </w:r>
      <w:bookmarkEnd w:id="68"/>
      <w:bookmarkEnd w:id="69"/>
      <w:bookmarkEnd w:id="70"/>
    </w:p>
    <w:p>
      <w:pPr>
        <w:pStyle w:val="235"/>
        <w:spacing w:line="400" w:lineRule="atLeast"/>
        <w:ind w:firstLine="508" w:firstLineChars="211"/>
        <w:rPr>
          <w:rFonts w:ascii="宋体" w:hAnsi="宋体"/>
          <w:b/>
          <w:bCs/>
          <w:color w:val="000000" w:themeColor="text1"/>
          <w:sz w:val="24"/>
          <w:szCs w:val="24"/>
        </w:rPr>
      </w:pPr>
      <w:r>
        <w:rPr>
          <w:rFonts w:hint="eastAsia" w:ascii="宋体" w:hAnsi="宋体"/>
          <w:b/>
          <w:bCs/>
          <w:color w:val="000000" w:themeColor="text1"/>
          <w:sz w:val="24"/>
          <w:szCs w:val="24"/>
        </w:rPr>
        <w:t>请响应商按照以下要求的格式、内容、顺序制作响应文件，并请编制目录及页码，否则可能将影响对响应文件的评价。</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一，响应函</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二，报价一览表</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三，授权委托书</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四、响应保证金</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五、供应商的基本情况表</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六、中小企业声明函</w:t>
      </w:r>
    </w:p>
    <w:p>
      <w:pPr>
        <w:pStyle w:val="235"/>
        <w:spacing w:line="540" w:lineRule="atLeast"/>
        <w:ind w:left="487" w:hanging="140"/>
        <w:rPr>
          <w:rFonts w:ascii="宋体" w:hAnsi="宋体"/>
          <w:b/>
          <w:bCs/>
          <w:color w:val="000000" w:themeColor="text1"/>
          <w:sz w:val="28"/>
          <w:szCs w:val="28"/>
        </w:rPr>
      </w:pPr>
      <w:r>
        <w:rPr>
          <w:rFonts w:hint="eastAsia" w:hAnsi="宋体"/>
          <w:color w:val="000000" w:themeColor="text1"/>
          <w:sz w:val="24"/>
          <w:szCs w:val="24"/>
        </w:rPr>
        <w:t>七、其他资料</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八、用户需求响应情况表</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九、承诺函</w:t>
      </w: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jc w:val="center"/>
        <w:rPr>
          <w:b/>
          <w:color w:val="000000" w:themeColor="text1"/>
          <w:sz w:val="52"/>
          <w:szCs w:val="52"/>
        </w:rPr>
      </w:pPr>
      <w:bookmarkStart w:id="76" w:name="_Toc311036357"/>
      <w:bookmarkEnd w:id="76"/>
      <w:r>
        <w:rPr>
          <w:rFonts w:hAnsi="宋体"/>
          <w:b/>
          <w:color w:val="000000" w:themeColor="text1"/>
          <w:sz w:val="52"/>
          <w:szCs w:val="52"/>
        </w:rPr>
        <w:t>政府采购项目</w:t>
      </w:r>
    </w:p>
    <w:p>
      <w:pPr>
        <w:jc w:val="center"/>
        <w:rPr>
          <w:b/>
          <w:color w:val="000000" w:themeColor="text1"/>
          <w:sz w:val="52"/>
          <w:szCs w:val="52"/>
        </w:rPr>
      </w:pPr>
      <w:r>
        <w:rPr>
          <w:rFonts w:hAnsi="宋体"/>
          <w:b/>
          <w:color w:val="000000" w:themeColor="text1"/>
          <w:sz w:val="52"/>
          <w:szCs w:val="52"/>
        </w:rPr>
        <w:t>响应文件</w:t>
      </w:r>
    </w:p>
    <w:p>
      <w:pPr>
        <w:jc w:val="center"/>
        <w:rPr>
          <w:b/>
          <w:color w:val="000000" w:themeColor="text1"/>
          <w:sz w:val="44"/>
        </w:rPr>
      </w:pPr>
      <w:r>
        <w:rPr>
          <w:rFonts w:hAnsi="宋体"/>
          <w:b/>
          <w:color w:val="000000" w:themeColor="text1"/>
          <w:sz w:val="44"/>
        </w:rPr>
        <w:t>（封面）</w:t>
      </w:r>
    </w:p>
    <w:p>
      <w:pPr>
        <w:jc w:val="center"/>
        <w:rPr>
          <w:b/>
          <w:color w:val="000000" w:themeColor="text1"/>
          <w:sz w:val="36"/>
        </w:rPr>
      </w:pPr>
    </w:p>
    <w:p>
      <w:pPr>
        <w:jc w:val="center"/>
        <w:rPr>
          <w:b/>
          <w:color w:val="000000" w:themeColor="text1"/>
          <w:sz w:val="28"/>
          <w:szCs w:val="28"/>
        </w:rPr>
      </w:pPr>
    </w:p>
    <w:p>
      <w:pPr>
        <w:ind w:firstLine="1124" w:firstLineChars="400"/>
        <w:rPr>
          <w:b/>
          <w:color w:val="000000" w:themeColor="text1"/>
          <w:sz w:val="28"/>
          <w:szCs w:val="28"/>
          <w:u w:val="single"/>
        </w:rPr>
      </w:pPr>
      <w:r>
        <w:rPr>
          <w:rFonts w:hAnsi="宋体"/>
          <w:b/>
          <w:color w:val="000000" w:themeColor="text1"/>
          <w:sz w:val="28"/>
          <w:szCs w:val="28"/>
        </w:rPr>
        <w:t>项目</w:t>
      </w:r>
      <w:r>
        <w:rPr>
          <w:rFonts w:hint="eastAsia" w:hAnsi="宋体"/>
          <w:b/>
          <w:color w:val="000000" w:themeColor="text1"/>
          <w:sz w:val="28"/>
          <w:szCs w:val="28"/>
        </w:rPr>
        <w:t>编号</w:t>
      </w:r>
      <w:r>
        <w:rPr>
          <w:rFonts w:hAnsi="宋体"/>
          <w:b/>
          <w:color w:val="000000" w:themeColor="text1"/>
          <w:sz w:val="28"/>
          <w:szCs w:val="28"/>
        </w:rPr>
        <w:t>：</w:t>
      </w:r>
      <w:r>
        <w:rPr>
          <w:rFonts w:hint="eastAsia" w:hAnsi="宋体"/>
          <w:b/>
          <w:color w:val="000000" w:themeColor="text1"/>
          <w:sz w:val="28"/>
          <w:szCs w:val="28"/>
        </w:rPr>
        <w:t>HNSJSHWFW-2024-25</w:t>
      </w:r>
    </w:p>
    <w:p>
      <w:pPr>
        <w:ind w:firstLine="1124" w:firstLineChars="400"/>
        <w:rPr>
          <w:b/>
          <w:color w:val="000000" w:themeColor="text1"/>
          <w:sz w:val="28"/>
          <w:szCs w:val="28"/>
          <w:u w:val="single"/>
        </w:rPr>
      </w:pPr>
      <w:r>
        <w:rPr>
          <w:rFonts w:hint="eastAsia" w:hAnsi="宋体"/>
          <w:b/>
          <w:color w:val="000000" w:themeColor="text1"/>
          <w:sz w:val="28"/>
          <w:szCs w:val="28"/>
        </w:rPr>
        <w:t>项目名称</w:t>
      </w:r>
      <w:r>
        <w:rPr>
          <w:rFonts w:hAnsi="宋体"/>
          <w:b/>
          <w:color w:val="000000" w:themeColor="text1"/>
          <w:sz w:val="28"/>
          <w:szCs w:val="28"/>
        </w:rPr>
        <w:t>：</w:t>
      </w:r>
      <w:r>
        <w:rPr>
          <w:rFonts w:hint="eastAsia" w:hAnsi="宋体"/>
          <w:b/>
          <w:color w:val="000000" w:themeColor="text1"/>
          <w:sz w:val="28"/>
          <w:szCs w:val="28"/>
        </w:rPr>
        <w:t>智能网联汽车（智能载运技术）设备项目校内采购</w:t>
      </w:r>
    </w:p>
    <w:p>
      <w:pPr>
        <w:spacing w:line="360" w:lineRule="auto"/>
        <w:jc w:val="center"/>
        <w:rPr>
          <w:b/>
          <w:color w:val="000000" w:themeColor="text1"/>
          <w:sz w:val="28"/>
          <w:szCs w:val="28"/>
        </w:rPr>
      </w:pPr>
    </w:p>
    <w:p>
      <w:pPr>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pPr>
        <w:rPr>
          <w:b/>
          <w:color w:val="000000" w:themeColor="text1"/>
          <w:sz w:val="28"/>
          <w:szCs w:val="28"/>
        </w:rPr>
      </w:pPr>
    </w:p>
    <w:p>
      <w:pPr>
        <w:spacing w:line="440" w:lineRule="exact"/>
        <w:rPr>
          <w:b/>
          <w:color w:val="000000" w:themeColor="text1"/>
          <w:sz w:val="28"/>
          <w:szCs w:val="28"/>
        </w:rPr>
      </w:pPr>
    </w:p>
    <w:p>
      <w:pPr>
        <w:spacing w:line="500" w:lineRule="exact"/>
        <w:ind w:firstLine="1124" w:firstLineChars="400"/>
        <w:rPr>
          <w:b/>
          <w:color w:val="000000" w:themeColor="text1"/>
          <w:sz w:val="28"/>
          <w:szCs w:val="28"/>
          <w:u w:val="single"/>
        </w:rPr>
      </w:pPr>
      <w:r>
        <w:rPr>
          <w:rFonts w:hAnsi="宋体"/>
          <w:b/>
          <w:color w:val="000000" w:themeColor="text1"/>
          <w:sz w:val="28"/>
          <w:szCs w:val="28"/>
        </w:rPr>
        <w:t>供应商名称：</w:t>
      </w:r>
      <w:r>
        <w:rPr>
          <w:rFonts w:hint="eastAsia" w:hAnsi="宋体"/>
          <w:b/>
          <w:color w:val="000000" w:themeColor="text1"/>
          <w:sz w:val="28"/>
          <w:szCs w:val="28"/>
          <w:u w:val="single"/>
        </w:rPr>
        <w:t xml:space="preserve">                        </w:t>
      </w:r>
      <w:r>
        <w:rPr>
          <w:rFonts w:hint="eastAsia"/>
          <w:b/>
          <w:color w:val="000000" w:themeColor="text1"/>
          <w:sz w:val="28"/>
          <w:szCs w:val="28"/>
          <w:u w:val="single"/>
        </w:rPr>
        <w:t>（盖章）</w:t>
      </w:r>
    </w:p>
    <w:p>
      <w:pPr>
        <w:spacing w:line="500" w:lineRule="exact"/>
        <w:ind w:firstLine="1124" w:firstLineChars="400"/>
        <w:rPr>
          <w:b/>
          <w:color w:val="000000" w:themeColor="text1"/>
          <w:sz w:val="28"/>
          <w:szCs w:val="28"/>
          <w:u w:val="single"/>
        </w:rPr>
      </w:pPr>
      <w:r>
        <w:rPr>
          <w:rFonts w:hAnsi="宋体"/>
          <w:b/>
          <w:color w:val="000000" w:themeColor="text1"/>
          <w:sz w:val="28"/>
          <w:szCs w:val="28"/>
        </w:rPr>
        <w:t>法定代表人：</w:t>
      </w:r>
      <w:r>
        <w:rPr>
          <w:rFonts w:hint="eastAsia" w:hAnsi="宋体"/>
          <w:b/>
          <w:color w:val="000000" w:themeColor="text1"/>
          <w:sz w:val="28"/>
          <w:szCs w:val="28"/>
          <w:u w:val="single"/>
        </w:rPr>
        <w:t xml:space="preserve">                  </w:t>
      </w:r>
      <w:r>
        <w:rPr>
          <w:rFonts w:hint="eastAsia"/>
          <w:b/>
          <w:color w:val="000000" w:themeColor="text1"/>
          <w:sz w:val="28"/>
          <w:szCs w:val="28"/>
          <w:u w:val="single"/>
        </w:rPr>
        <w:t>（签名或盖章）</w:t>
      </w:r>
    </w:p>
    <w:p>
      <w:pPr>
        <w:spacing w:line="500" w:lineRule="exact"/>
        <w:ind w:firstLine="1124" w:firstLineChars="400"/>
        <w:rPr>
          <w:b/>
          <w:color w:val="000000" w:themeColor="text1"/>
          <w:sz w:val="28"/>
          <w:szCs w:val="28"/>
          <w:u w:val="single"/>
        </w:rPr>
      </w:pPr>
      <w:r>
        <w:rPr>
          <w:rFonts w:hAnsi="宋体"/>
          <w:b/>
          <w:color w:val="000000" w:themeColor="text1"/>
          <w:sz w:val="28"/>
          <w:szCs w:val="28"/>
        </w:rPr>
        <w:t>地</w:t>
      </w:r>
      <w:r>
        <w:rPr>
          <w:rFonts w:hint="eastAsia" w:hAnsi="宋体"/>
          <w:b/>
          <w:color w:val="000000" w:themeColor="text1"/>
          <w:sz w:val="28"/>
          <w:szCs w:val="28"/>
        </w:rPr>
        <w:t xml:space="preserve">      </w:t>
      </w:r>
      <w:r>
        <w:rPr>
          <w:rFonts w:hAnsi="宋体"/>
          <w:b/>
          <w:color w:val="000000" w:themeColor="text1"/>
          <w:sz w:val="28"/>
          <w:szCs w:val="28"/>
        </w:rPr>
        <w:t>址：</w:t>
      </w:r>
      <w:r>
        <w:rPr>
          <w:rFonts w:hint="eastAsia" w:hAnsi="宋体"/>
          <w:b/>
          <w:color w:val="000000" w:themeColor="text1"/>
          <w:sz w:val="28"/>
          <w:szCs w:val="28"/>
          <w:u w:val="single"/>
        </w:rPr>
        <w:t xml:space="preserve">                                </w:t>
      </w:r>
    </w:p>
    <w:p>
      <w:pPr>
        <w:spacing w:line="500" w:lineRule="exact"/>
        <w:ind w:firstLine="1124" w:firstLineChars="400"/>
        <w:rPr>
          <w:b/>
          <w:color w:val="000000" w:themeColor="text1"/>
          <w:sz w:val="28"/>
          <w:szCs w:val="28"/>
          <w:u w:val="single"/>
        </w:rPr>
      </w:pPr>
      <w:r>
        <w:rPr>
          <w:rFonts w:hAnsi="宋体"/>
          <w:b/>
          <w:color w:val="000000" w:themeColor="text1"/>
          <w:sz w:val="28"/>
          <w:szCs w:val="28"/>
        </w:rPr>
        <w:t>电</w:t>
      </w:r>
      <w:r>
        <w:rPr>
          <w:rFonts w:hint="eastAsia" w:hAnsi="宋体"/>
          <w:b/>
          <w:color w:val="000000" w:themeColor="text1"/>
          <w:sz w:val="28"/>
          <w:szCs w:val="28"/>
        </w:rPr>
        <w:t xml:space="preserve">      </w:t>
      </w:r>
      <w:r>
        <w:rPr>
          <w:rFonts w:hAnsi="宋体"/>
          <w:b/>
          <w:color w:val="000000" w:themeColor="text1"/>
          <w:sz w:val="28"/>
          <w:szCs w:val="28"/>
        </w:rPr>
        <w:t>话：</w:t>
      </w:r>
      <w:r>
        <w:rPr>
          <w:rFonts w:hint="eastAsia" w:hAnsi="宋体"/>
          <w:b/>
          <w:color w:val="000000" w:themeColor="text1"/>
          <w:sz w:val="28"/>
          <w:szCs w:val="28"/>
          <w:u w:val="single"/>
        </w:rPr>
        <w:t xml:space="preserve">                                </w:t>
      </w:r>
    </w:p>
    <w:p>
      <w:pPr>
        <w:spacing w:line="500" w:lineRule="exact"/>
        <w:ind w:firstLine="1124" w:firstLineChars="400"/>
        <w:rPr>
          <w:b/>
          <w:color w:val="000000" w:themeColor="text1"/>
          <w:sz w:val="28"/>
          <w:szCs w:val="28"/>
          <w:u w:val="single"/>
        </w:rPr>
      </w:pPr>
      <w:r>
        <w:rPr>
          <w:rFonts w:hAnsi="宋体"/>
          <w:b/>
          <w:color w:val="000000" w:themeColor="text1"/>
          <w:sz w:val="28"/>
          <w:szCs w:val="28"/>
        </w:rPr>
        <w:t>响应代表：</w:t>
      </w:r>
      <w:r>
        <w:rPr>
          <w:rFonts w:hint="eastAsia" w:hAnsi="宋体"/>
          <w:b/>
          <w:color w:val="000000" w:themeColor="text1"/>
          <w:sz w:val="28"/>
          <w:szCs w:val="28"/>
          <w:u w:val="single"/>
        </w:rPr>
        <w:t xml:space="preserve">               </w:t>
      </w:r>
      <w:r>
        <w:rPr>
          <w:rFonts w:hAnsi="宋体"/>
          <w:b/>
          <w:color w:val="000000" w:themeColor="text1"/>
          <w:sz w:val="28"/>
          <w:szCs w:val="28"/>
        </w:rPr>
        <w:t>签字：</w:t>
      </w:r>
      <w:r>
        <w:rPr>
          <w:rFonts w:hint="eastAsia" w:hAnsi="宋体"/>
          <w:b/>
          <w:color w:val="000000" w:themeColor="text1"/>
          <w:sz w:val="28"/>
          <w:szCs w:val="28"/>
          <w:u w:val="single"/>
        </w:rPr>
        <w:t xml:space="preserve">             </w:t>
      </w:r>
    </w:p>
    <w:p>
      <w:pPr>
        <w:spacing w:line="500" w:lineRule="exact"/>
        <w:ind w:firstLine="1124" w:firstLineChars="400"/>
        <w:rPr>
          <w:b/>
          <w:color w:val="000000" w:themeColor="text1"/>
          <w:sz w:val="28"/>
          <w:szCs w:val="28"/>
          <w:u w:val="single"/>
        </w:rPr>
      </w:pPr>
      <w:r>
        <w:rPr>
          <w:rFonts w:hAnsi="宋体"/>
          <w:b/>
          <w:color w:val="000000" w:themeColor="text1"/>
          <w:sz w:val="28"/>
          <w:szCs w:val="28"/>
        </w:rPr>
        <w:t>手</w:t>
      </w:r>
      <w:r>
        <w:rPr>
          <w:rFonts w:hint="eastAsia" w:hAnsi="宋体"/>
          <w:b/>
          <w:color w:val="000000" w:themeColor="text1"/>
          <w:sz w:val="28"/>
          <w:szCs w:val="28"/>
        </w:rPr>
        <w:t xml:space="preserve">      </w:t>
      </w:r>
      <w:r>
        <w:rPr>
          <w:rFonts w:hAnsi="宋体"/>
          <w:b/>
          <w:color w:val="000000" w:themeColor="text1"/>
          <w:sz w:val="28"/>
          <w:szCs w:val="28"/>
        </w:rPr>
        <w:t>机：</w:t>
      </w:r>
      <w:r>
        <w:rPr>
          <w:rFonts w:hint="eastAsia" w:hAnsi="宋体"/>
          <w:b/>
          <w:color w:val="000000" w:themeColor="text1"/>
          <w:sz w:val="28"/>
          <w:szCs w:val="28"/>
          <w:u w:val="single"/>
        </w:rPr>
        <w:t xml:space="preserve">                                </w:t>
      </w:r>
    </w:p>
    <w:p>
      <w:pPr>
        <w:spacing w:line="500" w:lineRule="exact"/>
        <w:ind w:right="560" w:firstLine="1124" w:firstLineChars="400"/>
        <w:rPr>
          <w:b/>
          <w:color w:val="000000" w:themeColor="text1"/>
          <w:sz w:val="28"/>
          <w:szCs w:val="28"/>
        </w:rPr>
      </w:pPr>
      <w:r>
        <w:rPr>
          <w:rFonts w:hAnsi="宋体"/>
          <w:b/>
          <w:color w:val="000000" w:themeColor="text1"/>
          <w:sz w:val="28"/>
          <w:szCs w:val="28"/>
        </w:rPr>
        <w:t>日</w:t>
      </w:r>
      <w:r>
        <w:rPr>
          <w:rFonts w:hint="eastAsia" w:hAnsi="宋体"/>
          <w:b/>
          <w:color w:val="000000" w:themeColor="text1"/>
          <w:sz w:val="28"/>
          <w:szCs w:val="28"/>
        </w:rPr>
        <w:t xml:space="preserve">      </w:t>
      </w:r>
      <w:r>
        <w:rPr>
          <w:rFonts w:hAnsi="宋体"/>
          <w:b/>
          <w:color w:val="000000" w:themeColor="text1"/>
          <w:sz w:val="28"/>
          <w:szCs w:val="28"/>
        </w:rPr>
        <w:t>期：</w:t>
      </w:r>
      <w:r>
        <w:rPr>
          <w:rFonts w:hint="eastAsia" w:hAnsi="宋体"/>
          <w:b/>
          <w:color w:val="000000" w:themeColor="text1"/>
          <w:sz w:val="28"/>
          <w:szCs w:val="28"/>
          <w:u w:val="single"/>
        </w:rPr>
        <w:t xml:space="preserve">              </w:t>
      </w:r>
      <w:r>
        <w:rPr>
          <w:rFonts w:hAnsi="宋体"/>
          <w:b/>
          <w:color w:val="000000" w:themeColor="text1"/>
          <w:sz w:val="28"/>
          <w:szCs w:val="28"/>
        </w:rPr>
        <w:t>年</w:t>
      </w:r>
      <w:r>
        <w:rPr>
          <w:rFonts w:hint="eastAsia" w:hAnsi="宋体"/>
          <w:b/>
          <w:color w:val="000000" w:themeColor="text1"/>
          <w:sz w:val="28"/>
          <w:szCs w:val="28"/>
          <w:u w:val="single"/>
        </w:rPr>
        <w:t xml:space="preserve">      </w:t>
      </w:r>
      <w:r>
        <w:rPr>
          <w:rFonts w:hAnsi="宋体"/>
          <w:b/>
          <w:color w:val="000000" w:themeColor="text1"/>
          <w:sz w:val="28"/>
          <w:szCs w:val="28"/>
        </w:rPr>
        <w:t>月</w:t>
      </w:r>
      <w:r>
        <w:rPr>
          <w:rFonts w:hint="eastAsia" w:hAnsi="宋体"/>
          <w:b/>
          <w:color w:val="000000" w:themeColor="text1"/>
          <w:sz w:val="28"/>
          <w:szCs w:val="28"/>
          <w:u w:val="single"/>
        </w:rPr>
        <w:t xml:space="preserve">      </w:t>
      </w:r>
      <w:r>
        <w:rPr>
          <w:rFonts w:hAnsi="宋体"/>
          <w:b/>
          <w:color w:val="000000" w:themeColor="text1"/>
          <w:sz w:val="28"/>
          <w:szCs w:val="28"/>
        </w:rPr>
        <w:t>日</w:t>
      </w:r>
    </w:p>
    <w:p>
      <w:pPr>
        <w:pStyle w:val="260"/>
        <w:spacing w:after="0" w:line="360" w:lineRule="auto"/>
        <w:rPr>
          <w:color w:val="000000" w:themeColor="text1"/>
          <w:sz w:val="24"/>
          <w:szCs w:val="24"/>
        </w:rPr>
      </w:pPr>
    </w:p>
    <w:p>
      <w:pPr>
        <w:pStyle w:val="260"/>
        <w:spacing w:after="0" w:line="360" w:lineRule="auto"/>
        <w:rPr>
          <w:color w:val="000000" w:themeColor="text1"/>
          <w:sz w:val="24"/>
          <w:szCs w:val="24"/>
        </w:rPr>
      </w:pPr>
    </w:p>
    <w:p>
      <w:pPr>
        <w:pStyle w:val="260"/>
        <w:spacing w:after="0" w:line="360" w:lineRule="auto"/>
        <w:rPr>
          <w:color w:val="000000" w:themeColor="text1"/>
          <w:sz w:val="24"/>
          <w:szCs w:val="24"/>
        </w:rPr>
      </w:pPr>
      <w:r>
        <w:rPr>
          <w:rFonts w:hint="eastAsia"/>
          <w:color w:val="000000" w:themeColor="text1"/>
          <w:sz w:val="24"/>
          <w:szCs w:val="24"/>
        </w:rPr>
        <w:t xml:space="preserve"> </w:t>
      </w:r>
    </w:p>
    <w:p>
      <w:pPr>
        <w:pStyle w:val="260"/>
        <w:spacing w:after="0" w:line="360" w:lineRule="auto"/>
        <w:jc w:val="left"/>
        <w:rPr>
          <w:color w:val="000000" w:themeColor="text1"/>
          <w:sz w:val="24"/>
          <w:szCs w:val="24"/>
        </w:rPr>
      </w:pPr>
    </w:p>
    <w:p>
      <w:pPr>
        <w:pStyle w:val="288"/>
        <w:spacing w:before="156" w:after="156"/>
        <w:outlineLvl w:val="1"/>
        <w:rPr>
          <w:color w:val="000000" w:themeColor="text1"/>
        </w:rPr>
      </w:pPr>
      <w:bookmarkStart w:id="77" w:name="_Toc413607155"/>
      <w:bookmarkStart w:id="78" w:name="_Toc413606694"/>
      <w:bookmarkStart w:id="79" w:name="_Toc500352185"/>
      <w:bookmarkStart w:id="80" w:name="_Toc116920202"/>
      <w:r>
        <w:rPr>
          <w:rFonts w:hint="eastAsia"/>
          <w:color w:val="000000" w:themeColor="text1"/>
        </w:rPr>
        <w:t>一、响应函</w:t>
      </w:r>
      <w:bookmarkEnd w:id="77"/>
      <w:bookmarkEnd w:id="78"/>
      <w:bookmarkEnd w:id="79"/>
      <w:bookmarkEnd w:id="80"/>
    </w:p>
    <w:p>
      <w:pPr>
        <w:pStyle w:val="235"/>
        <w:spacing w:before="19" w:line="480" w:lineRule="atLeast"/>
        <w:rPr>
          <w:rFonts w:ascii="宋体" w:hAnsi="宋体"/>
          <w:color w:val="000000" w:themeColor="text1"/>
          <w:sz w:val="28"/>
          <w:szCs w:val="28"/>
        </w:rPr>
      </w:pPr>
      <w:r>
        <w:rPr>
          <w:rFonts w:hint="eastAsia" w:ascii="宋体" w:hAnsi="宋体"/>
          <w:color w:val="000000" w:themeColor="text1"/>
          <w:sz w:val="28"/>
          <w:szCs w:val="28"/>
        </w:rPr>
        <w:t>致：</w:t>
      </w:r>
      <w:r>
        <w:rPr>
          <w:rFonts w:ascii="宋体" w:hAnsi="宋体" w:cs="宋体"/>
          <w:color w:val="000000" w:themeColor="text1"/>
          <w:sz w:val="28"/>
          <w:szCs w:val="28"/>
          <w:lang w:val="zh-TW"/>
        </w:rPr>
        <w:t>海南省技师学院</w:t>
      </w:r>
    </w:p>
    <w:p>
      <w:pPr>
        <w:pStyle w:val="235"/>
        <w:spacing w:line="480" w:lineRule="auto"/>
        <w:ind w:firstLine="360"/>
        <w:rPr>
          <w:rFonts w:ascii="宋体" w:hAnsi="宋体"/>
          <w:color w:val="000000" w:themeColor="text1"/>
          <w:sz w:val="24"/>
          <w:szCs w:val="24"/>
        </w:rPr>
      </w:pPr>
      <w:r>
        <w:rPr>
          <w:rFonts w:hint="eastAsia" w:ascii="宋体" w:hAnsi="宋体"/>
          <w:color w:val="000000" w:themeColor="text1"/>
          <w:sz w:val="24"/>
          <w:szCs w:val="24"/>
        </w:rPr>
        <w:t>根据贵单位“智能网联汽车（智能载运技术）设备项目校内采购”竞标函，正式授权下述签字人（姓名和职务）代表供应商（供应商名称），提交响应文件。</w:t>
      </w:r>
    </w:p>
    <w:p>
      <w:pPr>
        <w:pStyle w:val="235"/>
        <w:spacing w:line="480" w:lineRule="atLeast"/>
        <w:ind w:firstLine="480"/>
        <w:rPr>
          <w:rFonts w:ascii="宋体" w:hAnsi="宋体"/>
          <w:color w:val="000000" w:themeColor="text1"/>
          <w:sz w:val="24"/>
          <w:szCs w:val="24"/>
        </w:rPr>
      </w:pPr>
      <w:r>
        <w:rPr>
          <w:rFonts w:hint="eastAsia" w:ascii="宋体" w:hAnsi="宋体"/>
          <w:color w:val="000000" w:themeColor="text1"/>
          <w:sz w:val="24"/>
          <w:szCs w:val="24"/>
        </w:rPr>
        <w:t>根据此函，我们宣布同意如下：</w:t>
      </w:r>
    </w:p>
    <w:p>
      <w:pPr>
        <w:pStyle w:val="235"/>
        <w:spacing w:line="480" w:lineRule="atLeast"/>
        <w:rPr>
          <w:rFonts w:ascii="宋体" w:hAnsi="宋体"/>
          <w:color w:val="000000" w:themeColor="text1"/>
          <w:sz w:val="24"/>
          <w:szCs w:val="24"/>
        </w:rPr>
      </w:pPr>
      <w:r>
        <w:rPr>
          <w:rFonts w:hint="eastAsia" w:ascii="宋体" w:hAnsi="宋体"/>
          <w:color w:val="000000" w:themeColor="text1"/>
          <w:sz w:val="24"/>
          <w:szCs w:val="24"/>
        </w:rPr>
        <w:t xml:space="preserve">    1、我方接受谈判文件的所有的条款和规定。</w:t>
      </w:r>
    </w:p>
    <w:p>
      <w:pPr>
        <w:pStyle w:val="235"/>
        <w:spacing w:line="480" w:lineRule="atLeast"/>
        <w:ind w:firstLine="480"/>
        <w:rPr>
          <w:rFonts w:ascii="宋体" w:hAnsi="宋体"/>
          <w:color w:val="000000" w:themeColor="text1"/>
          <w:sz w:val="24"/>
          <w:szCs w:val="24"/>
        </w:rPr>
      </w:pPr>
      <w:r>
        <w:rPr>
          <w:rFonts w:hint="eastAsia" w:ascii="宋体" w:hAnsi="宋体"/>
          <w:color w:val="000000" w:themeColor="text1"/>
          <w:sz w:val="24"/>
          <w:szCs w:val="24"/>
        </w:rPr>
        <w:t>2、我方同意按照谈判文件第二章“供应商须知”的规定，本响应文件的有效期为从响应截止日期起计算的</w:t>
      </w:r>
      <w:r>
        <w:rPr>
          <w:rFonts w:hint="eastAsia" w:ascii="宋体" w:hAnsi="宋体"/>
          <w:color w:val="000000" w:themeColor="text1"/>
          <w:sz w:val="24"/>
          <w:szCs w:val="24"/>
          <w:u w:val="single"/>
        </w:rPr>
        <w:t xml:space="preserve"> 30 天</w:t>
      </w:r>
      <w:r>
        <w:rPr>
          <w:rFonts w:hint="eastAsia" w:ascii="宋体" w:hAnsi="宋体"/>
          <w:color w:val="000000" w:themeColor="text1"/>
          <w:sz w:val="24"/>
          <w:szCs w:val="24"/>
        </w:rPr>
        <w:t>，在此期间，本响应文件将始终对我方具有约束力，并可随时被接受。</w:t>
      </w:r>
    </w:p>
    <w:p>
      <w:pPr>
        <w:pStyle w:val="235"/>
        <w:spacing w:line="480" w:lineRule="atLeast"/>
        <w:rPr>
          <w:rFonts w:ascii="宋体" w:hAnsi="宋体"/>
          <w:color w:val="000000" w:themeColor="text1"/>
          <w:sz w:val="24"/>
          <w:szCs w:val="24"/>
        </w:rPr>
      </w:pPr>
      <w:r>
        <w:rPr>
          <w:rFonts w:hint="eastAsia" w:ascii="宋体" w:hAnsi="宋体"/>
          <w:color w:val="000000" w:themeColor="text1"/>
          <w:sz w:val="24"/>
          <w:szCs w:val="24"/>
        </w:rPr>
        <w:t xml:space="preserve">    3、我们同意提供贵单位要求的有关本次响应的所有资料或证据，并保证资料、证据的真实有效性。</w:t>
      </w:r>
    </w:p>
    <w:p>
      <w:pPr>
        <w:pStyle w:val="235"/>
        <w:spacing w:line="480" w:lineRule="atLeast"/>
        <w:rPr>
          <w:rFonts w:ascii="宋体" w:hAnsi="宋体"/>
          <w:color w:val="000000" w:themeColor="text1"/>
          <w:sz w:val="24"/>
          <w:szCs w:val="24"/>
        </w:rPr>
      </w:pPr>
      <w:r>
        <w:rPr>
          <w:rFonts w:hint="eastAsia" w:ascii="宋体" w:hAnsi="宋体"/>
          <w:color w:val="000000" w:themeColor="text1"/>
          <w:sz w:val="24"/>
          <w:szCs w:val="24"/>
        </w:rPr>
        <w:t xml:space="preserve">    4、我方完全理解贵方不一定要接受最低响应价的响应，即</w:t>
      </w:r>
      <w:r>
        <w:rPr>
          <w:rFonts w:hint="eastAsia" w:ascii="宋体" w:hAnsi="宋体"/>
          <w:b/>
          <w:color w:val="000000" w:themeColor="text1"/>
          <w:sz w:val="24"/>
          <w:u w:val="single"/>
        </w:rPr>
        <w:t>最低报价不是成为成交供应商的保证</w:t>
      </w:r>
      <w:r>
        <w:rPr>
          <w:rFonts w:hint="eastAsia" w:ascii="宋体" w:hAnsi="宋体"/>
          <w:color w:val="000000" w:themeColor="text1"/>
          <w:sz w:val="24"/>
          <w:szCs w:val="24"/>
        </w:rPr>
        <w:t>。</w:t>
      </w:r>
    </w:p>
    <w:p>
      <w:pPr>
        <w:snapToGrid w:val="0"/>
        <w:spacing w:line="480" w:lineRule="exact"/>
        <w:ind w:firstLine="570"/>
        <w:rPr>
          <w:rFonts w:ascii="宋体" w:hAnsi="宋体"/>
          <w:color w:val="000000" w:themeColor="text1"/>
          <w:sz w:val="24"/>
        </w:rPr>
      </w:pPr>
      <w:r>
        <w:rPr>
          <w:rFonts w:hint="eastAsia" w:ascii="宋体" w:hAnsi="宋体"/>
          <w:color w:val="000000" w:themeColor="text1"/>
          <w:sz w:val="24"/>
        </w:rPr>
        <w:t>5、如果我方成为成交供应商，我们将根据采购文件的规定严格履行自己的责任和义务。</w:t>
      </w:r>
    </w:p>
    <w:p>
      <w:pPr>
        <w:snapToGrid w:val="0"/>
        <w:spacing w:line="480" w:lineRule="exact"/>
        <w:ind w:firstLine="570"/>
        <w:rPr>
          <w:rFonts w:ascii="宋体" w:hAnsi="宋体"/>
          <w:color w:val="000000" w:themeColor="text1"/>
          <w:sz w:val="24"/>
        </w:rPr>
      </w:pPr>
    </w:p>
    <w:p>
      <w:pPr>
        <w:snapToGrid w:val="0"/>
        <w:spacing w:line="480" w:lineRule="exact"/>
        <w:ind w:firstLine="570"/>
        <w:rPr>
          <w:rFonts w:ascii="宋体" w:hAnsi="宋体"/>
          <w:color w:val="000000" w:themeColor="text1"/>
          <w:sz w:val="24"/>
        </w:rPr>
      </w:pPr>
    </w:p>
    <w:p>
      <w:pPr>
        <w:snapToGrid w:val="0"/>
        <w:spacing w:line="480" w:lineRule="exact"/>
        <w:rPr>
          <w:rFonts w:ascii="宋体" w:hAnsi="宋体"/>
          <w:color w:val="000000" w:themeColor="text1"/>
          <w:sz w:val="24"/>
        </w:rPr>
      </w:pPr>
      <w:r>
        <w:rPr>
          <w:rFonts w:hint="eastAsia" w:ascii="宋体" w:hAnsi="宋体"/>
          <w:color w:val="000000" w:themeColor="text1"/>
          <w:sz w:val="24"/>
        </w:rPr>
        <w:t xml:space="preserve">        供应商名称：</w:t>
      </w:r>
      <w:r>
        <w:rPr>
          <w:rFonts w:hint="eastAsia" w:ascii="宋体" w:hAnsi="宋体"/>
          <w:color w:val="000000" w:themeColor="text1"/>
          <w:sz w:val="24"/>
          <w:u w:val="single"/>
        </w:rPr>
        <w:t xml:space="preserve">              （公章）</w:t>
      </w:r>
    </w:p>
    <w:p>
      <w:pPr>
        <w:snapToGrid w:val="0"/>
        <w:spacing w:line="480" w:lineRule="exact"/>
        <w:rPr>
          <w:rFonts w:ascii="宋体" w:hAnsi="宋体"/>
          <w:color w:val="000000" w:themeColor="text1"/>
          <w:sz w:val="24"/>
          <w:u w:val="single"/>
        </w:rPr>
      </w:pPr>
      <w:r>
        <w:rPr>
          <w:rFonts w:hint="eastAsia" w:ascii="宋体" w:hAnsi="宋体"/>
          <w:color w:val="000000" w:themeColor="text1"/>
          <w:sz w:val="24"/>
        </w:rPr>
        <w:t xml:space="preserve">        地址：                  邮编：</w:t>
      </w:r>
    </w:p>
    <w:p>
      <w:pPr>
        <w:snapToGrid w:val="0"/>
        <w:spacing w:line="480" w:lineRule="exact"/>
        <w:rPr>
          <w:rFonts w:ascii="宋体" w:hAnsi="宋体"/>
          <w:color w:val="000000" w:themeColor="text1"/>
          <w:sz w:val="24"/>
          <w:u w:val="single"/>
        </w:rPr>
      </w:pPr>
      <w:r>
        <w:rPr>
          <w:rFonts w:hint="eastAsia" w:ascii="宋体" w:hAnsi="宋体"/>
          <w:color w:val="000000" w:themeColor="text1"/>
          <w:sz w:val="24"/>
        </w:rPr>
        <w:t xml:space="preserve">        电话：                  传真：</w:t>
      </w:r>
    </w:p>
    <w:p>
      <w:pPr>
        <w:snapToGrid w:val="0"/>
        <w:spacing w:line="480" w:lineRule="exact"/>
        <w:rPr>
          <w:rFonts w:ascii="宋体" w:hAnsi="宋体"/>
          <w:color w:val="000000" w:themeColor="text1"/>
          <w:sz w:val="24"/>
          <w:u w:val="single"/>
        </w:rPr>
      </w:pPr>
      <w:r>
        <w:rPr>
          <w:rFonts w:hint="eastAsia" w:ascii="宋体" w:hAnsi="宋体"/>
          <w:color w:val="000000" w:themeColor="text1"/>
          <w:sz w:val="24"/>
        </w:rPr>
        <w:t xml:space="preserve">        法定代表人或授权代表签字：  </w:t>
      </w:r>
    </w:p>
    <w:p>
      <w:pPr>
        <w:pStyle w:val="235"/>
        <w:spacing w:line="480" w:lineRule="atLeast"/>
        <w:rPr>
          <w:rFonts w:ascii="宋体" w:hAnsi="宋体"/>
          <w:color w:val="000000" w:themeColor="text1"/>
          <w:sz w:val="24"/>
          <w:u w:val="single"/>
        </w:rPr>
      </w:pPr>
      <w:r>
        <w:rPr>
          <w:rFonts w:hint="eastAsia" w:ascii="宋体" w:hAnsi="宋体"/>
          <w:color w:val="000000" w:themeColor="text1"/>
          <w:sz w:val="24"/>
        </w:rPr>
        <w:t xml:space="preserve">        日期：</w:t>
      </w:r>
    </w:p>
    <w:p>
      <w:pPr>
        <w:pStyle w:val="235"/>
        <w:spacing w:line="480" w:lineRule="atLeast"/>
        <w:rPr>
          <w:rFonts w:ascii="宋体" w:hAnsi="宋体"/>
          <w:color w:val="000000" w:themeColor="text1"/>
          <w:sz w:val="24"/>
          <w:u w:val="single"/>
        </w:rPr>
      </w:pPr>
    </w:p>
    <w:p>
      <w:pPr>
        <w:pStyle w:val="235"/>
        <w:spacing w:line="480" w:lineRule="atLeast"/>
        <w:rPr>
          <w:color w:val="000000" w:themeColor="text1"/>
        </w:rPr>
      </w:pPr>
      <w:bookmarkStart w:id="81" w:name="_Toc500352186"/>
      <w:bookmarkStart w:id="82" w:name="_Toc413606695"/>
      <w:bookmarkStart w:id="83" w:name="_Toc413607156"/>
      <w:bookmarkStart w:id="84" w:name="_Toc413607157"/>
      <w:bookmarkStart w:id="85" w:name="_Toc500352187"/>
      <w:bookmarkStart w:id="86" w:name="_Toc413606696"/>
    </w:p>
    <w:p>
      <w:pPr>
        <w:pStyle w:val="288"/>
        <w:spacing w:before="156" w:after="156"/>
        <w:outlineLvl w:val="1"/>
        <w:rPr>
          <w:color w:val="000000" w:themeColor="text1"/>
        </w:rPr>
      </w:pPr>
      <w:bookmarkStart w:id="87" w:name="_Toc116920203"/>
    </w:p>
    <w:p>
      <w:pPr>
        <w:pStyle w:val="288"/>
        <w:spacing w:before="156" w:after="156"/>
        <w:outlineLvl w:val="1"/>
        <w:rPr>
          <w:color w:val="000000" w:themeColor="text1"/>
        </w:rPr>
      </w:pPr>
    </w:p>
    <w:p>
      <w:pPr>
        <w:pStyle w:val="288"/>
        <w:spacing w:before="156" w:after="156"/>
        <w:outlineLvl w:val="1"/>
        <w:rPr>
          <w:color w:val="000000" w:themeColor="text1"/>
        </w:rPr>
      </w:pPr>
      <w:r>
        <w:rPr>
          <w:rFonts w:hint="eastAsia"/>
          <w:color w:val="000000" w:themeColor="text1"/>
        </w:rPr>
        <w:t>二</w:t>
      </w:r>
      <w:bookmarkEnd w:id="81"/>
      <w:bookmarkEnd w:id="82"/>
      <w:bookmarkEnd w:id="83"/>
      <w:bookmarkStart w:id="88" w:name="_Toc311036360"/>
      <w:bookmarkEnd w:id="88"/>
      <w:r>
        <w:rPr>
          <w:rFonts w:hint="eastAsia"/>
          <w:color w:val="000000" w:themeColor="text1"/>
        </w:rPr>
        <w:t>、报价一览表</w:t>
      </w:r>
      <w:bookmarkEnd w:id="87"/>
    </w:p>
    <w:p>
      <w:pPr>
        <w:spacing w:line="340" w:lineRule="exact"/>
        <w:rPr>
          <w:rFonts w:ascii="宋体" w:hAnsi="宋体"/>
          <w:color w:val="000000" w:themeColor="text1"/>
          <w:sz w:val="24"/>
          <w:szCs w:val="24"/>
        </w:rPr>
      </w:pPr>
      <w:r>
        <w:rPr>
          <w:rFonts w:hint="eastAsia" w:ascii="宋体" w:hAnsi="宋体"/>
          <w:color w:val="000000" w:themeColor="text1"/>
          <w:sz w:val="24"/>
          <w:szCs w:val="24"/>
        </w:rPr>
        <w:t>项目名称：智能网联汽车（智能载运技术）设备项目校内采购</w:t>
      </w:r>
    </w:p>
    <w:p>
      <w:pPr>
        <w:spacing w:line="340" w:lineRule="exact"/>
        <w:rPr>
          <w:rFonts w:ascii="宋体" w:hAnsi="宋体"/>
          <w:color w:val="000000" w:themeColor="text1"/>
          <w:sz w:val="24"/>
          <w:szCs w:val="24"/>
        </w:rPr>
      </w:pPr>
      <w:r>
        <w:rPr>
          <w:rFonts w:hint="eastAsia" w:ascii="宋体" w:hAnsi="宋体"/>
          <w:color w:val="000000" w:themeColor="text1"/>
          <w:sz w:val="24"/>
          <w:szCs w:val="24"/>
        </w:rPr>
        <w:t>标包编号：HNSJSHWFW-2024-25</w:t>
      </w:r>
    </w:p>
    <w:tbl>
      <w:tblPr>
        <w:tblStyle w:val="46"/>
        <w:tblW w:w="9348" w:type="dxa"/>
        <w:jc w:val="center"/>
        <w:tblLayout w:type="autofit"/>
        <w:tblCellMar>
          <w:top w:w="0" w:type="dxa"/>
          <w:left w:w="108" w:type="dxa"/>
          <w:bottom w:w="0" w:type="dxa"/>
          <w:right w:w="108" w:type="dxa"/>
        </w:tblCellMar>
      </w:tblPr>
      <w:tblGrid>
        <w:gridCol w:w="706"/>
        <w:gridCol w:w="2875"/>
        <w:gridCol w:w="975"/>
        <w:gridCol w:w="1080"/>
        <w:gridCol w:w="1316"/>
        <w:gridCol w:w="1316"/>
        <w:gridCol w:w="1080"/>
      </w:tblGrid>
      <w:tr>
        <w:tblPrEx>
          <w:tblCellMar>
            <w:top w:w="0" w:type="dxa"/>
            <w:left w:w="108" w:type="dxa"/>
            <w:bottom w:w="0" w:type="dxa"/>
            <w:right w:w="108" w:type="dxa"/>
          </w:tblCellMar>
        </w:tblPrEx>
        <w:trPr>
          <w:trHeight w:val="570" w:hRule="atLeast"/>
          <w:jc w:val="center"/>
        </w:trPr>
        <w:tc>
          <w:tcPr>
            <w:tcW w:w="9348" w:type="dxa"/>
            <w:gridSpan w:val="7"/>
            <w:tcBorders>
              <w:top w:val="nil"/>
              <w:left w:val="nil"/>
              <w:bottom w:val="nil"/>
              <w:right w:val="nil"/>
            </w:tcBorders>
            <w:shd w:val="clear" w:color="auto" w:fill="auto"/>
            <w:noWrap/>
            <w:vAlign w:val="center"/>
          </w:tcPr>
          <w:p>
            <w:pPr>
              <w:jc w:val="center"/>
            </w:pPr>
            <w:r>
              <w:rPr>
                <w:rFonts w:hint="eastAsia" w:ascii="等线" w:hAnsi="等线" w:eastAsia="等线" w:cs="等线"/>
                <w:color w:val="000000"/>
                <w:sz w:val="32"/>
                <w:szCs w:val="32"/>
              </w:rPr>
              <w:t>智能网联汽车（智能载运技术）设备项目报价清单</w:t>
            </w: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序号</w:t>
            </w:r>
          </w:p>
        </w:tc>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数量</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单价（元）</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备注</w:t>
            </w: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1</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2</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3</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4</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5</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6</w:t>
            </w:r>
          </w:p>
        </w:tc>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t>合计</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p>
        </w:tc>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eastAsia="宋体"/>
                <w:lang w:val="en-US" w:eastAsia="zh-CN"/>
              </w:rPr>
            </w:pPr>
            <w:r>
              <w:rPr>
                <w:rFonts w:hint="eastAsia"/>
                <w:lang w:val="en-US" w:eastAsia="zh-CN"/>
              </w:rPr>
              <w:t>供货期限</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lang w:val="en-US" w:eastAsia="zh-CN"/>
              </w:rPr>
            </w:pPr>
            <w:r>
              <w:rPr>
                <w:rFonts w:hint="eastAsia"/>
                <w:lang w:val="en-US" w:eastAsia="zh-CN"/>
              </w:rPr>
              <w:t xml:space="preserve">                            （日历天）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p>
        </w:tc>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eastAsia="宋体"/>
                <w:lang w:val="en-US" w:eastAsia="zh-CN"/>
              </w:rPr>
            </w:pPr>
            <w:r>
              <w:rPr>
                <w:rFonts w:hint="eastAsia"/>
                <w:lang w:val="en-US" w:eastAsia="zh-CN"/>
              </w:rPr>
              <w:t>供货地点</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tc>
      </w:tr>
    </w:tbl>
    <w:p>
      <w:pPr>
        <w:snapToGrid w:val="0"/>
        <w:spacing w:line="240" w:lineRule="atLeast"/>
        <w:rPr>
          <w:rFonts w:ascii="宋体"/>
          <w:color w:val="000000"/>
          <w:sz w:val="24"/>
        </w:rPr>
      </w:pPr>
    </w:p>
    <w:p>
      <w:pPr>
        <w:snapToGrid w:val="0"/>
        <w:spacing w:line="240" w:lineRule="atLeast"/>
        <w:rPr>
          <w:rFonts w:ascii="宋体"/>
          <w:color w:val="000000"/>
          <w:sz w:val="24"/>
        </w:rPr>
      </w:pPr>
      <w:r>
        <w:rPr>
          <w:rFonts w:hint="eastAsia" w:ascii="宋体"/>
          <w:color w:val="000000"/>
          <w:sz w:val="24"/>
        </w:rPr>
        <w:t>注：</w:t>
      </w:r>
      <w:r>
        <w:rPr>
          <w:rFonts w:hint="eastAsia" w:ascii="宋体"/>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pPr>
        <w:spacing w:line="360" w:lineRule="auto"/>
        <w:rPr>
          <w:rFonts w:ascii="宋体"/>
          <w:color w:val="000000"/>
          <w:sz w:val="24"/>
        </w:rPr>
      </w:pPr>
    </w:p>
    <w:p>
      <w:pPr>
        <w:pStyle w:val="288"/>
        <w:spacing w:before="156" w:after="156"/>
        <w:outlineLvl w:val="1"/>
        <w:rPr>
          <w:color w:val="000000" w:themeColor="text1"/>
        </w:rPr>
      </w:pPr>
      <w:bookmarkStart w:id="89" w:name="_Toc116920204"/>
    </w:p>
    <w:p>
      <w:pPr>
        <w:rPr>
          <w:color w:val="000000" w:themeColor="text1"/>
        </w:rPr>
      </w:pPr>
      <w:r>
        <w:rPr>
          <w:rFonts w:hint="eastAsia"/>
          <w:color w:val="000000" w:themeColor="text1"/>
        </w:rPr>
        <w:br w:type="page"/>
      </w:r>
    </w:p>
    <w:p>
      <w:pPr>
        <w:pStyle w:val="288"/>
        <w:spacing w:before="156" w:after="156"/>
        <w:outlineLvl w:val="1"/>
        <w:rPr>
          <w:color w:val="000000" w:themeColor="text1"/>
        </w:rPr>
      </w:pPr>
      <w:r>
        <w:rPr>
          <w:rFonts w:hint="eastAsia"/>
          <w:color w:val="000000" w:themeColor="text1"/>
        </w:rPr>
        <w:t>三、授权委托书</w:t>
      </w:r>
      <w:bookmarkEnd w:id="84"/>
      <w:bookmarkEnd w:id="85"/>
      <w:bookmarkEnd w:id="86"/>
      <w:bookmarkEnd w:id="89"/>
    </w:p>
    <w:p>
      <w:pPr>
        <w:jc w:val="center"/>
        <w:rPr>
          <w:b/>
          <w:color w:val="000000" w:themeColor="text1"/>
          <w:sz w:val="28"/>
          <w:szCs w:val="28"/>
        </w:rPr>
      </w:pPr>
      <w:bookmarkStart w:id="90" w:name="_Toc318704186"/>
      <w:bookmarkStart w:id="91" w:name="_Toc413606697"/>
      <w:bookmarkStart w:id="92" w:name="_Toc408852545"/>
      <w:r>
        <w:rPr>
          <w:rFonts w:hint="eastAsia"/>
          <w:b/>
          <w:color w:val="000000" w:themeColor="text1"/>
          <w:sz w:val="28"/>
          <w:szCs w:val="28"/>
        </w:rPr>
        <w:t>法定代表人身份证明</w:t>
      </w:r>
      <w:bookmarkEnd w:id="90"/>
      <w:bookmarkEnd w:id="91"/>
      <w:bookmarkEnd w:id="92"/>
    </w:p>
    <w:p>
      <w:pPr>
        <w:spacing w:line="360" w:lineRule="auto"/>
        <w:ind w:firstLine="420" w:firstLineChars="200"/>
        <w:rPr>
          <w:rFonts w:ascii="宋体" w:hAnsi="宋体"/>
          <w:color w:val="000000" w:themeColor="text1"/>
          <w:szCs w:val="21"/>
        </w:rPr>
      </w:pP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供应商全称：</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单位性质：</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地址：</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成立时间：       年   月    日</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经营期限：</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姓名：性别：年龄：职务：_</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系（供应商名称）的法定代表人。</w:t>
      </w:r>
    </w:p>
    <w:p>
      <w:pPr>
        <w:spacing w:line="360" w:lineRule="auto"/>
        <w:ind w:firstLine="960" w:firstLineChars="400"/>
        <w:rPr>
          <w:rFonts w:ascii="宋体" w:hAnsi="宋体"/>
          <w:color w:val="000000" w:themeColor="text1"/>
          <w:sz w:val="24"/>
          <w:szCs w:val="24"/>
        </w:rPr>
      </w:pPr>
      <w:r>
        <w:rPr>
          <w:rFonts w:hint="eastAsia" w:ascii="宋体" w:hAnsi="宋体"/>
          <w:color w:val="000000" w:themeColor="text1"/>
          <w:sz w:val="24"/>
          <w:szCs w:val="24"/>
        </w:rPr>
        <w:t>特此证明。</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附：法定代表人身份证</w:t>
      </w:r>
    </w:p>
    <w:p>
      <w:pPr>
        <w:spacing w:line="360" w:lineRule="auto"/>
        <w:rPr>
          <w:rFonts w:ascii="宋体" w:hAnsi="宋体"/>
          <w:color w:val="000000" w:themeColor="text1"/>
          <w:sz w:val="24"/>
          <w:szCs w:val="24"/>
        </w:rPr>
      </w:pPr>
    </w:p>
    <w:p>
      <w:pPr>
        <w:spacing w:line="360" w:lineRule="auto"/>
        <w:ind w:firstLine="6120" w:firstLineChars="2550"/>
        <w:rPr>
          <w:rFonts w:ascii="宋体" w:hAnsi="宋体"/>
          <w:color w:val="000000" w:themeColor="text1"/>
          <w:sz w:val="24"/>
          <w:szCs w:val="24"/>
        </w:rPr>
      </w:pPr>
      <w:r>
        <w:rPr>
          <w:rFonts w:hint="eastAsia" w:ascii="宋体" w:hAnsi="宋体"/>
          <w:color w:val="000000" w:themeColor="text1"/>
          <w:sz w:val="24"/>
          <w:szCs w:val="24"/>
        </w:rPr>
        <w:t>供应商全称：（盖单位章）</w:t>
      </w:r>
    </w:p>
    <w:p>
      <w:pPr>
        <w:spacing w:line="360" w:lineRule="auto"/>
        <w:ind w:firstLine="5160" w:firstLineChars="2150"/>
        <w:rPr>
          <w:rFonts w:ascii="宋体" w:hAnsi="宋体"/>
          <w:color w:val="000000" w:themeColor="text1"/>
          <w:sz w:val="24"/>
          <w:szCs w:val="24"/>
          <w:u w:val="single"/>
        </w:rPr>
      </w:pPr>
    </w:p>
    <w:p>
      <w:pPr>
        <w:spacing w:line="360" w:lineRule="auto"/>
        <w:ind w:firstLine="5160" w:firstLineChars="2150"/>
        <w:jc w:val="center"/>
        <w:rPr>
          <w:rFonts w:ascii="宋体" w:hAnsi="宋体"/>
          <w:color w:val="000000" w:themeColor="text1"/>
          <w:sz w:val="24"/>
          <w:szCs w:val="24"/>
        </w:rPr>
      </w:pPr>
      <w:r>
        <w:rPr>
          <w:rFonts w:hint="eastAsia" w:ascii="宋体" w:hAnsi="宋体"/>
          <w:color w:val="000000" w:themeColor="text1"/>
          <w:sz w:val="24"/>
          <w:szCs w:val="24"/>
        </w:rPr>
        <w:t>年  月  日</w:t>
      </w:r>
    </w:p>
    <w:p>
      <w:pPr>
        <w:snapToGrid w:val="0"/>
        <w:spacing w:line="360" w:lineRule="auto"/>
        <w:jc w:val="center"/>
        <w:rPr>
          <w:rFonts w:ascii="宋体" w:hAnsi="宋体"/>
          <w:b/>
          <w:color w:val="000000" w:themeColor="text1"/>
          <w:sz w:val="32"/>
          <w:szCs w:val="32"/>
        </w:rPr>
      </w:pPr>
    </w:p>
    <w:p>
      <w:pPr>
        <w:snapToGrid w:val="0"/>
        <w:spacing w:line="360" w:lineRule="auto"/>
        <w:rPr>
          <w:rFonts w:ascii="宋体" w:hAnsi="宋体"/>
          <w:b/>
          <w:color w:val="000000" w:themeColor="text1"/>
          <w:sz w:val="32"/>
          <w:szCs w:val="32"/>
        </w:rPr>
      </w:pPr>
    </w:p>
    <w:p>
      <w:pPr>
        <w:snapToGrid w:val="0"/>
        <w:spacing w:line="360" w:lineRule="auto"/>
        <w:jc w:val="center"/>
        <w:rPr>
          <w:rFonts w:ascii="宋体" w:hAnsi="宋体"/>
          <w:b/>
          <w:color w:val="000000" w:themeColor="text1"/>
          <w:sz w:val="32"/>
          <w:szCs w:val="32"/>
        </w:rPr>
      </w:pPr>
    </w:p>
    <w:p>
      <w:pPr>
        <w:snapToGrid w:val="0"/>
        <w:spacing w:line="360" w:lineRule="auto"/>
        <w:rPr>
          <w:rFonts w:ascii="宋体" w:hAnsi="宋体"/>
          <w:b/>
          <w:color w:val="000000" w:themeColor="text1"/>
          <w:sz w:val="32"/>
          <w:szCs w:val="32"/>
        </w:rPr>
      </w:pPr>
    </w:p>
    <w:p>
      <w:pPr>
        <w:snapToGrid w:val="0"/>
        <w:spacing w:line="360" w:lineRule="auto"/>
        <w:jc w:val="center"/>
        <w:rPr>
          <w:rFonts w:ascii="宋体" w:hAnsi="宋体"/>
          <w:b/>
          <w:color w:val="000000" w:themeColor="text1"/>
          <w:sz w:val="32"/>
          <w:szCs w:val="32"/>
        </w:rPr>
      </w:pPr>
    </w:p>
    <w:p>
      <w:pPr>
        <w:rPr>
          <w:rFonts w:ascii="宋体" w:hAnsi="宋体"/>
          <w:b/>
          <w:color w:val="000000" w:themeColor="text1"/>
          <w:sz w:val="32"/>
          <w:szCs w:val="32"/>
        </w:rPr>
      </w:pPr>
      <w:r>
        <w:rPr>
          <w:rFonts w:hint="eastAsia" w:ascii="宋体" w:hAnsi="宋体"/>
          <w:b/>
          <w:color w:val="000000" w:themeColor="text1"/>
          <w:sz w:val="32"/>
          <w:szCs w:val="32"/>
        </w:rPr>
        <w:br w:type="page"/>
      </w:r>
    </w:p>
    <w:p>
      <w:pPr>
        <w:snapToGrid w:val="0"/>
        <w:spacing w:line="360" w:lineRule="auto"/>
        <w:jc w:val="center"/>
        <w:rPr>
          <w:rFonts w:ascii="宋体" w:hAnsi="宋体"/>
          <w:b/>
          <w:color w:val="000000" w:themeColor="text1"/>
          <w:sz w:val="32"/>
          <w:szCs w:val="32"/>
        </w:rPr>
      </w:pPr>
      <w:r>
        <w:rPr>
          <w:rFonts w:hint="eastAsia" w:ascii="宋体" w:hAnsi="宋体"/>
          <w:b/>
          <w:color w:val="000000" w:themeColor="text1"/>
          <w:sz w:val="32"/>
          <w:szCs w:val="32"/>
        </w:rPr>
        <w:t>委 托 书</w:t>
      </w:r>
    </w:p>
    <w:p>
      <w:pPr>
        <w:snapToGrid w:val="0"/>
        <w:spacing w:line="360" w:lineRule="auto"/>
        <w:jc w:val="center"/>
        <w:rPr>
          <w:rFonts w:ascii="宋体" w:hAnsi="宋体"/>
          <w:b/>
          <w:color w:val="000000" w:themeColor="text1"/>
          <w:sz w:val="32"/>
          <w:szCs w:val="32"/>
        </w:rPr>
      </w:pPr>
    </w:p>
    <w:p>
      <w:pPr>
        <w:spacing w:line="360" w:lineRule="auto"/>
        <w:rPr>
          <w:rFonts w:ascii="宋体" w:hAnsi="宋体"/>
          <w:b/>
          <w:color w:val="000000" w:themeColor="text1"/>
          <w:sz w:val="28"/>
        </w:rPr>
      </w:pPr>
      <w:r>
        <w:rPr>
          <w:rFonts w:hint="eastAsia" w:ascii="宋体" w:hAnsi="宋体"/>
          <w:b/>
          <w:color w:val="000000" w:themeColor="text1"/>
          <w:sz w:val="28"/>
        </w:rPr>
        <w:t>致：</w:t>
      </w:r>
      <w:r>
        <w:rPr>
          <w:rFonts w:ascii="宋体" w:hAnsi="宋体" w:cs="宋体"/>
          <w:b/>
          <w:color w:val="000000" w:themeColor="text1"/>
          <w:sz w:val="28"/>
          <w:szCs w:val="28"/>
          <w:lang w:val="zh-TW"/>
        </w:rPr>
        <w:t>海南省技师学院</w:t>
      </w:r>
    </w:p>
    <w:p>
      <w:pPr>
        <w:spacing w:line="360" w:lineRule="auto"/>
        <w:rPr>
          <w:rFonts w:ascii="宋体" w:hAnsi="宋体"/>
          <w:color w:val="000000" w:themeColor="text1"/>
          <w:sz w:val="24"/>
        </w:rPr>
      </w:pPr>
      <w:r>
        <w:rPr>
          <w:rFonts w:hint="eastAsia" w:ascii="宋体" w:hAnsi="宋体"/>
          <w:color w:val="000000" w:themeColor="text1"/>
          <w:sz w:val="24"/>
        </w:rPr>
        <w:t xml:space="preserve">    本授权书声明：</w:t>
      </w:r>
    </w:p>
    <w:p>
      <w:pPr>
        <w:snapToGrid w:val="0"/>
        <w:spacing w:line="360" w:lineRule="auto"/>
        <w:rPr>
          <w:rFonts w:ascii="宋体" w:hAnsi="宋体"/>
          <w:color w:val="000000" w:themeColor="text1"/>
          <w:sz w:val="24"/>
          <w:u w:val="single"/>
        </w:rPr>
      </w:pPr>
      <w:r>
        <w:rPr>
          <w:rFonts w:hint="eastAsia" w:ascii="宋体" w:hAnsi="宋体"/>
          <w:color w:val="000000" w:themeColor="text1"/>
          <w:sz w:val="24"/>
        </w:rPr>
        <w:t>委托人：</w:t>
      </w:r>
    </w:p>
    <w:p>
      <w:pPr>
        <w:snapToGrid w:val="0"/>
        <w:spacing w:line="360" w:lineRule="auto"/>
        <w:rPr>
          <w:rFonts w:ascii="宋体" w:hAnsi="宋体"/>
          <w:color w:val="000000" w:themeColor="text1"/>
          <w:sz w:val="24"/>
        </w:rPr>
      </w:pPr>
      <w:r>
        <w:rPr>
          <w:rFonts w:hint="eastAsia" w:ascii="宋体" w:hAnsi="宋体"/>
          <w:color w:val="000000" w:themeColor="text1"/>
          <w:sz w:val="24"/>
        </w:rPr>
        <w:t>受托人：姓名 性别： 出生日期：年月日</w:t>
      </w:r>
    </w:p>
    <w:p>
      <w:pPr>
        <w:snapToGrid w:val="0"/>
        <w:spacing w:line="360" w:lineRule="auto"/>
        <w:rPr>
          <w:rFonts w:ascii="宋体" w:hAnsi="宋体"/>
          <w:color w:val="000000" w:themeColor="text1"/>
          <w:sz w:val="24"/>
        </w:rPr>
      </w:pPr>
      <w:r>
        <w:rPr>
          <w:rFonts w:hint="eastAsia" w:ascii="宋体" w:hAnsi="宋体"/>
          <w:color w:val="000000" w:themeColor="text1"/>
          <w:sz w:val="24"/>
        </w:rPr>
        <w:t>身 份 证：联系方式:</w:t>
      </w:r>
    </w:p>
    <w:p>
      <w:pPr>
        <w:snapToGrid w:val="0"/>
        <w:spacing w:line="360" w:lineRule="auto"/>
        <w:ind w:firstLine="480" w:firstLineChars="200"/>
        <w:rPr>
          <w:color w:val="000000" w:themeColor="text1"/>
          <w:sz w:val="24"/>
          <w:szCs w:val="24"/>
          <w:u w:val="single"/>
        </w:rPr>
      </w:pPr>
      <w:r>
        <w:rPr>
          <w:rFonts w:hint="eastAsia" w:ascii="宋体" w:hAnsi="宋体"/>
          <w:color w:val="000000" w:themeColor="text1"/>
          <w:sz w:val="24"/>
        </w:rPr>
        <w:t>兹委托受托人代表我方参加贵单位组织的</w:t>
      </w:r>
      <w:r>
        <w:rPr>
          <w:rFonts w:hint="eastAsia" w:ascii="宋体" w:hAnsi="宋体"/>
          <w:color w:val="000000" w:themeColor="text1"/>
          <w:sz w:val="24"/>
          <w:szCs w:val="24"/>
        </w:rPr>
        <w:t>智能网联汽车（智能载运技术）设备项目校内采购</w:t>
      </w:r>
      <w:r>
        <w:rPr>
          <w:rFonts w:hint="eastAsia" w:ascii="宋体" w:hAnsi="宋体"/>
          <w:color w:val="000000" w:themeColor="text1"/>
          <w:sz w:val="24"/>
        </w:rPr>
        <w:t>（标包编号：HNSJSHWFW-2024-25）的采购活动，并授权其全权办理以下事宜：</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1、以我单位的名义签署响应书和响应文件</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2、参加响应谈判会议</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3、向谈判小组及海南省技师学院基建设备项目管理部澄清、解释响应文件中的疑问</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4、签订合同书并执行一切与本项目有关的事项。</w:t>
      </w:r>
    </w:p>
    <w:p>
      <w:pPr>
        <w:snapToGrid w:val="0"/>
        <w:spacing w:line="360" w:lineRule="auto"/>
        <w:rPr>
          <w:rFonts w:ascii="宋体" w:hAnsi="宋体"/>
          <w:color w:val="000000" w:themeColor="text1"/>
          <w:sz w:val="24"/>
        </w:rPr>
      </w:pPr>
      <w:r>
        <w:rPr>
          <w:rFonts w:hint="eastAsia" w:ascii="宋体" w:hAnsi="宋体"/>
          <w:color w:val="000000" w:themeColor="text1"/>
          <w:sz w:val="24"/>
        </w:rPr>
        <w:t xml:space="preserve">    受托人在办理上述事宜过程中以其自己的名义所签署的所有文件我方均予以承认。受托人无转委托权。</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委托期限：至上述事宜处理完毕止。</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附：法定代表人及受托代表身份证</w:t>
      </w:r>
    </w:p>
    <w:p>
      <w:pPr>
        <w:snapToGrid w:val="0"/>
        <w:spacing w:line="360" w:lineRule="auto"/>
        <w:ind w:firstLine="3840" w:firstLineChars="1600"/>
        <w:rPr>
          <w:rFonts w:ascii="宋体" w:hAnsi="宋体"/>
          <w:color w:val="000000" w:themeColor="text1"/>
          <w:sz w:val="24"/>
        </w:rPr>
      </w:pPr>
    </w:p>
    <w:p>
      <w:pPr>
        <w:snapToGrid w:val="0"/>
        <w:spacing w:line="360" w:lineRule="auto"/>
        <w:ind w:firstLine="3840" w:firstLineChars="1600"/>
        <w:jc w:val="right"/>
        <w:rPr>
          <w:rFonts w:ascii="宋体" w:hAnsi="宋体"/>
          <w:color w:val="000000" w:themeColor="text1"/>
          <w:sz w:val="24"/>
          <w:u w:val="single"/>
        </w:rPr>
      </w:pPr>
      <w:r>
        <w:rPr>
          <w:rFonts w:hint="eastAsia" w:ascii="宋体" w:hAnsi="宋体"/>
          <w:color w:val="000000" w:themeColor="text1"/>
          <w:sz w:val="24"/>
        </w:rPr>
        <w:t>委托单位：</w:t>
      </w:r>
      <w:r>
        <w:rPr>
          <w:rFonts w:hint="eastAsia" w:ascii="宋体" w:hAnsi="宋体"/>
          <w:color w:val="000000" w:themeColor="text1"/>
          <w:sz w:val="24"/>
          <w:u w:val="single"/>
        </w:rPr>
        <w:t xml:space="preserve">                    （公章） </w:t>
      </w:r>
    </w:p>
    <w:p>
      <w:pPr>
        <w:snapToGrid w:val="0"/>
        <w:spacing w:line="360" w:lineRule="auto"/>
        <w:rPr>
          <w:rFonts w:ascii="宋体" w:hAnsi="宋体"/>
          <w:color w:val="000000" w:themeColor="text1"/>
          <w:sz w:val="24"/>
          <w:u w:val="single"/>
        </w:rPr>
      </w:pPr>
      <w:r>
        <w:rPr>
          <w:rFonts w:hint="eastAsia" w:ascii="宋体" w:hAnsi="宋体"/>
          <w:color w:val="000000" w:themeColor="text1"/>
          <w:sz w:val="24"/>
        </w:rPr>
        <w:t xml:space="preserve">                                          法定代表人：</w:t>
      </w:r>
      <w:r>
        <w:rPr>
          <w:rFonts w:hint="eastAsia" w:ascii="宋体" w:hAnsi="宋体"/>
          <w:color w:val="000000" w:themeColor="text1"/>
          <w:sz w:val="24"/>
          <w:u w:val="single"/>
        </w:rPr>
        <w:t xml:space="preserve">                  （签名） </w:t>
      </w:r>
    </w:p>
    <w:p>
      <w:pPr>
        <w:snapToGrid w:val="0"/>
        <w:spacing w:line="360" w:lineRule="auto"/>
        <w:jc w:val="right"/>
        <w:rPr>
          <w:rFonts w:ascii="宋体" w:hAnsi="宋体"/>
          <w:color w:val="000000" w:themeColor="text1"/>
          <w:sz w:val="24"/>
          <w:u w:val="single"/>
        </w:rPr>
      </w:pPr>
      <w:r>
        <w:rPr>
          <w:rFonts w:hint="eastAsia" w:ascii="宋体" w:hAnsi="宋体"/>
          <w:color w:val="000000" w:themeColor="text1"/>
          <w:sz w:val="24"/>
        </w:rPr>
        <w:t>受托人：</w:t>
      </w:r>
      <w:r>
        <w:rPr>
          <w:rFonts w:hint="eastAsia" w:ascii="宋体" w:hAnsi="宋体"/>
          <w:color w:val="000000" w:themeColor="text1"/>
          <w:sz w:val="24"/>
          <w:u w:val="single"/>
        </w:rPr>
        <w:t xml:space="preserve">                      （签名） </w:t>
      </w:r>
    </w:p>
    <w:p>
      <w:pPr>
        <w:snapToGrid w:val="0"/>
        <w:spacing w:line="360" w:lineRule="auto"/>
        <w:rPr>
          <w:rFonts w:ascii="宋体" w:hAnsi="宋体"/>
          <w:color w:val="000000" w:themeColor="text1"/>
          <w:sz w:val="24"/>
        </w:rPr>
      </w:pPr>
    </w:p>
    <w:p>
      <w:pPr>
        <w:spacing w:line="360" w:lineRule="auto"/>
        <w:ind w:firstLine="5160" w:firstLineChars="2150"/>
        <w:rPr>
          <w:rFonts w:ascii="宋体" w:hAnsi="宋体"/>
          <w:color w:val="000000" w:themeColor="text1"/>
          <w:sz w:val="24"/>
        </w:rPr>
      </w:pPr>
      <w:r>
        <w:rPr>
          <w:rFonts w:hint="eastAsia" w:ascii="宋体" w:hAnsi="宋体"/>
          <w:color w:val="000000" w:themeColor="text1"/>
          <w:sz w:val="24"/>
        </w:rPr>
        <w:t xml:space="preserve">        年    月     日</w: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r>
        <w:rPr>
          <w:rFonts w:hint="eastAsia"/>
          <w:color w:val="000000" w:themeColor="text1"/>
        </w:rPr>
        <w:t>注：法定代表人亲自到会不用提供此委托书</w:t>
      </w:r>
      <w:bookmarkStart w:id="93" w:name="_Toc116920206"/>
      <w:bookmarkStart w:id="94" w:name="_Toc500352189"/>
      <w:bookmarkStart w:id="95" w:name="_Toc413606701"/>
      <w:bookmarkStart w:id="96" w:name="_Toc413607160"/>
    </w:p>
    <w:p>
      <w:pPr>
        <w:rPr>
          <w:color w:val="000000" w:themeColor="text1"/>
        </w:rPr>
      </w:pPr>
      <w:r>
        <w:rPr>
          <w:rFonts w:hint="eastAsia"/>
          <w:color w:val="000000" w:themeColor="text1"/>
        </w:rPr>
        <w:br w:type="page"/>
      </w:r>
    </w:p>
    <w:p>
      <w:pPr>
        <w:pStyle w:val="288"/>
        <w:spacing w:before="156" w:after="156"/>
        <w:outlineLvl w:val="1"/>
        <w:rPr>
          <w:color w:val="000000" w:themeColor="text1"/>
        </w:rPr>
      </w:pPr>
      <w:r>
        <w:rPr>
          <w:rFonts w:hint="eastAsia"/>
          <w:color w:val="000000" w:themeColor="text1"/>
        </w:rPr>
        <w:t>四、</w:t>
      </w:r>
      <w:r>
        <w:rPr>
          <w:color w:val="000000" w:themeColor="text1"/>
        </w:rPr>
        <w:t>供应商的</w:t>
      </w:r>
      <w:r>
        <w:rPr>
          <w:rFonts w:hint="eastAsia"/>
          <w:color w:val="000000" w:themeColor="text1"/>
        </w:rPr>
        <w:t>基本情况表</w:t>
      </w:r>
      <w:bookmarkEnd w:id="93"/>
      <w:bookmarkEnd w:id="94"/>
      <w:bookmarkEnd w:id="95"/>
      <w:bookmarkEnd w:id="96"/>
    </w:p>
    <w:p>
      <w:pPr>
        <w:rPr>
          <w:color w:val="000000" w:themeColor="text1"/>
          <w:sz w:val="24"/>
          <w:szCs w:val="24"/>
        </w:rPr>
      </w:pPr>
    </w:p>
    <w:tbl>
      <w:tblPr>
        <w:tblStyle w:val="46"/>
        <w:tblW w:w="860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967"/>
        <w:gridCol w:w="1249"/>
        <w:gridCol w:w="1253"/>
        <w:gridCol w:w="6"/>
        <w:gridCol w:w="1328"/>
        <w:gridCol w:w="1172"/>
        <w:gridCol w:w="1095"/>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pPr>
              <w:autoSpaceDE w:val="0"/>
              <w:autoSpaceDN w:val="0"/>
              <w:spacing w:line="400" w:lineRule="exact"/>
              <w:jc w:val="center"/>
              <w:rPr>
                <w:color w:val="000000" w:themeColor="text1"/>
                <w:sz w:val="24"/>
                <w:szCs w:val="24"/>
              </w:rPr>
            </w:pPr>
          </w:p>
        </w:tc>
        <w:tc>
          <w:tcPr>
            <w:tcW w:w="1328"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Merge w:val="restart"/>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pPr>
              <w:autoSpaceDE w:val="0"/>
              <w:autoSpaceDN w:val="0"/>
              <w:spacing w:line="400" w:lineRule="exact"/>
              <w:jc w:val="center"/>
              <w:rPr>
                <w:color w:val="000000" w:themeColor="text1"/>
                <w:sz w:val="24"/>
                <w:szCs w:val="24"/>
              </w:rPr>
            </w:pPr>
          </w:p>
        </w:tc>
        <w:tc>
          <w:tcPr>
            <w:tcW w:w="1334" w:type="dxa"/>
            <w:gridSpan w:val="2"/>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1535" w:type="dxa"/>
            <w:vMerge w:val="continue"/>
            <w:vAlign w:val="center"/>
          </w:tcPr>
          <w:p>
            <w:pPr>
              <w:autoSpaceDE w:val="0"/>
              <w:autoSpaceDN w:val="0"/>
              <w:spacing w:line="400" w:lineRule="exact"/>
              <w:jc w:val="center"/>
              <w:rPr>
                <w:color w:val="000000" w:themeColor="text1"/>
                <w:sz w:val="24"/>
                <w:szCs w:val="24"/>
              </w:rPr>
            </w:pPr>
          </w:p>
        </w:tc>
        <w:tc>
          <w:tcPr>
            <w:tcW w:w="967"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pPr>
              <w:autoSpaceDE w:val="0"/>
              <w:autoSpaceDN w:val="0"/>
              <w:spacing w:line="400" w:lineRule="exact"/>
              <w:jc w:val="center"/>
              <w:rPr>
                <w:color w:val="000000" w:themeColor="text1"/>
                <w:sz w:val="24"/>
                <w:szCs w:val="24"/>
              </w:rPr>
            </w:pPr>
          </w:p>
        </w:tc>
        <w:tc>
          <w:tcPr>
            <w:tcW w:w="1334" w:type="dxa"/>
            <w:gridSpan w:val="2"/>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int="eastAsia" w:hAnsi="宋体"/>
                <w:color w:val="000000" w:themeColor="text1"/>
                <w:sz w:val="24"/>
                <w:szCs w:val="24"/>
              </w:rPr>
              <w:t>企业</w:t>
            </w:r>
            <w:r>
              <w:rPr>
                <w:rFonts w:hAnsi="宋体"/>
                <w:color w:val="000000" w:themeColor="text1"/>
                <w:sz w:val="24"/>
                <w:szCs w:val="24"/>
              </w:rPr>
              <w:t>类型</w:t>
            </w:r>
          </w:p>
        </w:tc>
        <w:tc>
          <w:tcPr>
            <w:tcW w:w="7070" w:type="dxa"/>
            <w:gridSpan w:val="7"/>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pPr>
              <w:autoSpaceDE w:val="0"/>
              <w:autoSpaceDN w:val="0"/>
              <w:spacing w:line="400" w:lineRule="exact"/>
              <w:jc w:val="center"/>
              <w:rPr>
                <w:color w:val="000000" w:themeColor="text1"/>
                <w:sz w:val="24"/>
                <w:szCs w:val="24"/>
              </w:rPr>
            </w:pPr>
          </w:p>
        </w:tc>
        <w:tc>
          <w:tcPr>
            <w:tcW w:w="1253"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pPr>
              <w:autoSpaceDE w:val="0"/>
              <w:autoSpaceDN w:val="0"/>
              <w:spacing w:line="400" w:lineRule="exact"/>
              <w:jc w:val="center"/>
              <w:rPr>
                <w:color w:val="000000" w:themeColor="text1"/>
                <w:sz w:val="24"/>
                <w:szCs w:val="24"/>
              </w:rPr>
            </w:pPr>
          </w:p>
        </w:tc>
        <w:tc>
          <w:tcPr>
            <w:tcW w:w="1172"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1095" w:type="dxa"/>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pPr>
              <w:autoSpaceDE w:val="0"/>
              <w:autoSpaceDN w:val="0"/>
              <w:spacing w:line="400" w:lineRule="exact"/>
              <w:ind w:firstLine="1680" w:firstLineChars="700"/>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606"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pPr>
              <w:autoSpaceDE w:val="0"/>
              <w:autoSpaceDN w:val="0"/>
              <w:spacing w:line="400" w:lineRule="exact"/>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1535" w:type="dxa"/>
          </w:tcPr>
          <w:p>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pPr>
              <w:autoSpaceDE w:val="0"/>
              <w:autoSpaceDN w:val="0"/>
              <w:spacing w:line="400" w:lineRule="exact"/>
              <w:rPr>
                <w:color w:val="000000" w:themeColor="text1"/>
                <w:sz w:val="24"/>
                <w:szCs w:val="24"/>
              </w:rPr>
            </w:pPr>
          </w:p>
        </w:tc>
      </w:tr>
    </w:tbl>
    <w:p>
      <w:pPr>
        <w:rPr>
          <w:color w:val="000000" w:themeColor="text1"/>
          <w:sz w:val="24"/>
          <w:szCs w:val="24"/>
        </w:rPr>
      </w:pPr>
    </w:p>
    <w:p>
      <w:pPr>
        <w:snapToGrid w:val="0"/>
        <w:spacing w:line="360" w:lineRule="auto"/>
        <w:ind w:firstLine="420" w:firstLineChars="200"/>
        <w:rPr>
          <w:color w:val="000000" w:themeColor="text1"/>
        </w:rPr>
      </w:pPr>
      <w:r>
        <w:rPr>
          <w:rFonts w:hint="eastAsia"/>
          <w:color w:val="000000" w:themeColor="text1"/>
          <w:szCs w:val="21"/>
        </w:rPr>
        <w:t>附：三证合一的营业执照</w:t>
      </w:r>
    </w:p>
    <w:p>
      <w:pPr>
        <w:snapToGrid w:val="0"/>
        <w:spacing w:line="360" w:lineRule="auto"/>
        <w:rPr>
          <w:color w:val="000000" w:themeColor="text1"/>
        </w:rPr>
      </w:pPr>
    </w:p>
    <w:p>
      <w:pPr>
        <w:snapToGrid w:val="0"/>
        <w:spacing w:line="360" w:lineRule="auto"/>
        <w:ind w:firstLine="420" w:firstLineChars="200"/>
        <w:rPr>
          <w:color w:val="000000" w:themeColor="text1"/>
        </w:rPr>
      </w:pPr>
    </w:p>
    <w:p>
      <w:pPr>
        <w:snapToGrid w:val="0"/>
        <w:spacing w:line="360" w:lineRule="auto"/>
        <w:rPr>
          <w:color w:val="000000" w:themeColor="text1"/>
        </w:rPr>
      </w:pPr>
      <w:bookmarkStart w:id="97" w:name="_Toc516761028"/>
    </w:p>
    <w:p>
      <w:pPr>
        <w:snapToGrid w:val="0"/>
        <w:spacing w:line="360" w:lineRule="auto"/>
        <w:rPr>
          <w:color w:val="000000" w:themeColor="text1"/>
        </w:rPr>
      </w:pPr>
    </w:p>
    <w:p>
      <w:pPr>
        <w:snapToGrid w:val="0"/>
        <w:spacing w:line="360" w:lineRule="auto"/>
        <w:rPr>
          <w:color w:val="000000" w:themeColor="text1"/>
        </w:rPr>
      </w:pPr>
    </w:p>
    <w:p>
      <w:pPr>
        <w:pStyle w:val="288"/>
        <w:spacing w:before="156" w:after="156"/>
        <w:outlineLvl w:val="1"/>
        <w:rPr>
          <w:color w:val="000000" w:themeColor="text1"/>
        </w:rPr>
      </w:pPr>
      <w:bookmarkStart w:id="98" w:name="_Toc116920207"/>
      <w:r>
        <w:rPr>
          <w:rFonts w:hint="eastAsia"/>
          <w:color w:val="000000" w:themeColor="text1"/>
        </w:rPr>
        <w:t>五、中小企业声明函</w:t>
      </w:r>
      <w:bookmarkEnd w:id="97"/>
      <w:bookmarkEnd w:id="98"/>
    </w:p>
    <w:p>
      <w:pPr>
        <w:pStyle w:val="42"/>
        <w:wordWrap w:val="0"/>
        <w:spacing w:line="420" w:lineRule="atLeast"/>
        <w:jc w:val="center"/>
        <w:rPr>
          <w:color w:val="333333"/>
          <w:sz w:val="22"/>
          <w:szCs w:val="22"/>
        </w:rPr>
      </w:pPr>
      <w:r>
        <w:rPr>
          <w:rFonts w:hint="eastAsia" w:ascii="微软雅黑" w:hAnsi="微软雅黑" w:eastAsia="微软雅黑" w:cs="微软雅黑"/>
          <w:color w:val="333333"/>
          <w:sz w:val="22"/>
          <w:szCs w:val="22"/>
          <w:shd w:val="clear" w:color="auto" w:fill="FFFFFF"/>
        </w:rPr>
        <w:t>中小企业声明函</w:t>
      </w:r>
    </w:p>
    <w:p>
      <w:pPr>
        <w:pStyle w:val="42"/>
        <w:wordWrap w:val="0"/>
        <w:spacing w:line="420" w:lineRule="atLeast"/>
        <w:ind w:firstLine="420"/>
        <w:rPr>
          <w:color w:val="333333"/>
          <w:sz w:val="22"/>
          <w:szCs w:val="22"/>
        </w:rPr>
      </w:pPr>
      <w:r>
        <w:rPr>
          <w:rFonts w:hint="eastAsia" w:ascii="微软雅黑" w:hAnsi="微软雅黑" w:eastAsia="微软雅黑" w:cs="微软雅黑"/>
          <w:color w:val="333333"/>
          <w:sz w:val="22"/>
          <w:szCs w:val="22"/>
          <w:shd w:val="clear" w:color="auto" w:fill="FFFFFF"/>
        </w:rPr>
        <w:t> </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本公司郑重声明，根据《政府采购促进中小企业发展</w:t>
      </w:r>
      <w:r>
        <w:rPr>
          <w:rFonts w:hint="eastAsia" w:ascii="宋体" w:hAnsi="宋体" w:cs="宋体"/>
          <w:color w:val="000000"/>
          <w:sz w:val="24"/>
          <w:szCs w:val="24"/>
          <w:lang w:val="en-US" w:eastAsia="zh-CN"/>
        </w:rPr>
        <w:t>管理</w:t>
      </w:r>
      <w:r>
        <w:rPr>
          <w:rFonts w:hint="eastAsia" w:ascii="宋体" w:hAnsi="宋体" w:cs="宋体"/>
          <w:color w:val="000000"/>
          <w:sz w:val="24"/>
          <w:szCs w:val="24"/>
        </w:rPr>
        <w:t>办法》（财库〔20</w:t>
      </w:r>
      <w:r>
        <w:rPr>
          <w:rFonts w:hint="eastAsia" w:ascii="宋体" w:hAnsi="宋体" w:cs="宋体"/>
          <w:color w:val="000000"/>
          <w:sz w:val="24"/>
          <w:szCs w:val="24"/>
          <w:lang w:val="en-US" w:eastAsia="zh-CN"/>
        </w:rPr>
        <w:t>20</w:t>
      </w:r>
      <w:r>
        <w:rPr>
          <w:rFonts w:hint="eastAsia" w:ascii="宋体" w:hAnsi="宋体" w:cs="宋体"/>
          <w:color w:val="000000"/>
          <w:sz w:val="24"/>
          <w:szCs w:val="24"/>
        </w:rPr>
        <w:t>〕</w:t>
      </w:r>
      <w:r>
        <w:rPr>
          <w:rFonts w:hint="eastAsia" w:ascii="宋体" w:hAnsi="宋体" w:cs="宋体"/>
          <w:color w:val="000000"/>
          <w:sz w:val="24"/>
          <w:szCs w:val="24"/>
          <w:lang w:val="en-US" w:eastAsia="zh-CN"/>
        </w:rPr>
        <w:t>46</w:t>
      </w:r>
      <w:r>
        <w:rPr>
          <w:rFonts w:hint="eastAsia" w:ascii="宋体" w:hAnsi="宋体" w:cs="宋体"/>
          <w:color w:val="000000"/>
          <w:sz w:val="24"/>
          <w:szCs w:val="24"/>
        </w:rPr>
        <w:t>号）的规定，本公司为______（请填写：中型、小型、微型）企业。即，本公司同时满足以下条件：</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企业名称（盖章）：</w:t>
      </w: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日 期：</w:t>
      </w:r>
    </w:p>
    <w:p>
      <w:pPr>
        <w:spacing w:line="440" w:lineRule="exact"/>
        <w:ind w:firstLine="480"/>
        <w:rPr>
          <w:color w:val="000000" w:themeColor="text1"/>
        </w:rPr>
      </w:pPr>
    </w:p>
    <w:p>
      <w:pPr>
        <w:spacing w:line="440" w:lineRule="exact"/>
        <w:ind w:firstLine="480"/>
        <w:rPr>
          <w:color w:val="000000" w:themeColor="text1"/>
        </w:rPr>
      </w:pPr>
    </w:p>
    <w:p>
      <w:pPr>
        <w:spacing w:line="440" w:lineRule="exact"/>
        <w:rPr>
          <w:color w:val="000000" w:themeColor="text1"/>
        </w:rPr>
      </w:pPr>
      <w:r>
        <w:rPr>
          <w:rFonts w:hint="eastAsia"/>
          <w:color w:val="000000" w:themeColor="text1"/>
        </w:rPr>
        <w:t>注：1. 从业人员、营业收入、资产总额填报上一年度数据，无上一年度数据的新成立企业可不填报。</w:t>
      </w:r>
    </w:p>
    <w:p>
      <w:pPr>
        <w:numPr>
          <w:ilvl w:val="0"/>
          <w:numId w:val="27"/>
        </w:numPr>
        <w:spacing w:line="440" w:lineRule="exact"/>
        <w:ind w:firstLine="420" w:firstLineChars="20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pPr>
        <w:spacing w:line="440" w:lineRule="exact"/>
        <w:ind w:firstLine="480"/>
        <w:rPr>
          <w:color w:val="000000" w:themeColor="text1"/>
          <w:u w:val="single"/>
        </w:rPr>
      </w:pPr>
    </w:p>
    <w:p>
      <w:pPr>
        <w:spacing w:line="440" w:lineRule="exact"/>
        <w:rPr>
          <w:color w:val="000000" w:themeColor="text1"/>
          <w:u w:val="single"/>
        </w:rPr>
      </w:pPr>
    </w:p>
    <w:p>
      <w:pPr>
        <w:spacing w:line="440" w:lineRule="exact"/>
        <w:rPr>
          <w:color w:val="000000" w:themeColor="text1"/>
          <w:u w:val="single"/>
        </w:rPr>
      </w:pPr>
    </w:p>
    <w:p>
      <w:pPr>
        <w:spacing w:line="440" w:lineRule="exact"/>
        <w:rPr>
          <w:color w:val="000000" w:themeColor="text1"/>
          <w:u w:val="single"/>
        </w:rPr>
      </w:pPr>
    </w:p>
    <w:p>
      <w:pPr>
        <w:pStyle w:val="288"/>
        <w:spacing w:before="156" w:after="156"/>
        <w:outlineLvl w:val="1"/>
        <w:rPr>
          <w:color w:val="000000" w:themeColor="text1"/>
        </w:rPr>
      </w:pPr>
      <w:bookmarkStart w:id="99" w:name="_Toc116920208"/>
      <w:r>
        <w:rPr>
          <w:rFonts w:hint="eastAsia"/>
          <w:color w:val="000000" w:themeColor="text1"/>
        </w:rPr>
        <w:t>六、其他资料</w:t>
      </w:r>
      <w:bookmarkEnd w:id="99"/>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（1）响应商具有良好的商业信誉和健全的财务会计制度（会计师事务所出具的2023年度财务审计报告的复印件或者2023年01月至今任意3个月的财务报表的复印件。(需包含资产负债表、利润表）；</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（2）响应商有依法缴纳税收和社会保障资金的良好记录（提供2023年至今任意一个月的税收证明和社会保障缴费记录）；</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pPr>
        <w:spacing w:line="500" w:lineRule="exact"/>
        <w:ind w:right="600" w:firstLine="480" w:firstLineChars="200"/>
        <w:jc w:val="both"/>
        <w:rPr>
          <w:rFonts w:ascii="宋体" w:hAnsi="宋体"/>
          <w:color w:val="000000" w:themeColor="text1"/>
          <w:sz w:val="24"/>
          <w:szCs w:val="24"/>
        </w:rPr>
      </w:pPr>
    </w:p>
    <w:p>
      <w:pPr>
        <w:spacing w:line="500" w:lineRule="exact"/>
        <w:ind w:right="600"/>
        <w:jc w:val="both"/>
        <w:rPr>
          <w:rFonts w:ascii="宋体" w:hAnsi="宋体"/>
          <w:color w:val="000000" w:themeColor="text1"/>
          <w:sz w:val="24"/>
          <w:szCs w:val="24"/>
        </w:rPr>
      </w:pPr>
    </w:p>
    <w:p>
      <w:pPr>
        <w:spacing w:line="500" w:lineRule="exact"/>
        <w:ind w:right="600"/>
        <w:jc w:val="both"/>
        <w:rPr>
          <w:rFonts w:ascii="宋体" w:hAnsi="宋体"/>
          <w:color w:val="000000" w:themeColor="text1"/>
          <w:sz w:val="24"/>
          <w:szCs w:val="24"/>
        </w:rPr>
      </w:pPr>
    </w:p>
    <w:bookmarkEnd w:id="71"/>
    <w:bookmarkEnd w:id="72"/>
    <w:p>
      <w:pPr>
        <w:tabs>
          <w:tab w:val="left" w:pos="2038"/>
        </w:tabs>
        <w:kinsoku w:val="0"/>
        <w:overflowPunct w:val="0"/>
        <w:autoSpaceDE w:val="0"/>
        <w:autoSpaceDN w:val="0"/>
        <w:adjustRightInd w:val="0"/>
        <w:spacing w:line="337" w:lineRule="exact"/>
        <w:rPr>
          <w:rFonts w:ascii="宋体" w:hAnsi="宋体" w:eastAsiaTheme="minorEastAsia"/>
          <w:szCs w:val="21"/>
        </w:rPr>
      </w:pPr>
      <w:bookmarkStart w:id="100" w:name="_Toc413606704"/>
    </w:p>
    <w:p>
      <w:pPr>
        <w:tabs>
          <w:tab w:val="left" w:pos="2038"/>
        </w:tabs>
        <w:kinsoku w:val="0"/>
        <w:overflowPunct w:val="0"/>
        <w:autoSpaceDE w:val="0"/>
        <w:autoSpaceDN w:val="0"/>
        <w:adjustRightInd w:val="0"/>
        <w:spacing w:line="337" w:lineRule="exact"/>
        <w:rPr>
          <w:rFonts w:ascii="宋体" w:hAnsi="宋体" w:eastAsiaTheme="minorEastAsia"/>
          <w:szCs w:val="21"/>
        </w:rPr>
      </w:pPr>
    </w:p>
    <w:p>
      <w:pPr>
        <w:rPr>
          <w:rFonts w:ascii="宋体" w:hAnsi="宋体" w:eastAsiaTheme="minorEastAsia"/>
          <w:szCs w:val="21"/>
        </w:rPr>
      </w:pPr>
      <w:r>
        <w:rPr>
          <w:rFonts w:ascii="宋体" w:hAnsi="宋体" w:eastAsiaTheme="minorEastAsia"/>
          <w:szCs w:val="21"/>
        </w:rPr>
        <w:br w:type="page"/>
      </w:r>
    </w:p>
    <w:p>
      <w:pPr>
        <w:tabs>
          <w:tab w:val="left" w:pos="2038"/>
        </w:tabs>
        <w:kinsoku w:val="0"/>
        <w:overflowPunct w:val="0"/>
        <w:autoSpaceDE w:val="0"/>
        <w:autoSpaceDN w:val="0"/>
        <w:adjustRightInd w:val="0"/>
        <w:spacing w:line="337" w:lineRule="exact"/>
        <w:ind w:left="109" w:leftChars="52" w:firstLine="317" w:firstLineChars="151"/>
      </w:pPr>
      <w:r>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hAnsi="宋体" w:eastAsiaTheme="minorEastAsia"/>
          <w:szCs w:val="21"/>
        </w:rPr>
        <w:t>相关信用查询截图示例（共五个，截图时间应在</w:t>
      </w:r>
      <w:r>
        <w:rPr>
          <w:rFonts w:hint="eastAsia" w:ascii="宋体" w:hAnsi="宋体" w:eastAsiaTheme="minorEastAsia"/>
          <w:szCs w:val="21"/>
        </w:rPr>
        <w:t>谈判</w:t>
      </w:r>
      <w:r>
        <w:rPr>
          <w:rFonts w:ascii="宋体" w:hAnsi="宋体" w:eastAsiaTheme="minorEastAsia"/>
          <w:szCs w:val="21"/>
        </w:rPr>
        <w:t>公告发布时间之后）</w:t>
      </w:r>
    </w:p>
    <w:p>
      <w:pPr>
        <w:jc w:val="center"/>
      </w:pPr>
      <w:r>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pPr>
        <w:jc w:val="center"/>
      </w:pPr>
      <w:r>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pPr>
        <w:jc w:val="center"/>
      </w:pPr>
      <w:r>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pPr>
        <w:jc w:val="center"/>
      </w:pPr>
      <w:r>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pPr>
        <w:spacing w:line="520" w:lineRule="exact"/>
        <w:rPr>
          <w:rFonts w:ascii="宋体" w:hAnsi="宋体"/>
          <w:color w:val="000000" w:themeColor="text1"/>
          <w:sz w:val="24"/>
        </w:rPr>
      </w:pPr>
    </w:p>
    <w:p>
      <w:pPr>
        <w:spacing w:line="500" w:lineRule="exact"/>
        <w:ind w:right="600" w:firstLine="480" w:firstLineChars="200"/>
        <w:jc w:val="both"/>
        <w:rPr>
          <w:rFonts w:ascii="宋体" w:hAnsi="宋体"/>
          <w:color w:val="000000" w:themeColor="text1"/>
          <w:sz w:val="24"/>
          <w:szCs w:val="24"/>
        </w:rPr>
      </w:pPr>
      <w:bookmarkStart w:id="101" w:name="_Toc116920209"/>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hint="eastAsia" w:ascii="宋体" w:hAnsi="宋体"/>
          <w:sz w:val="24"/>
          <w:szCs w:val="24"/>
        </w:rPr>
        <w:t>响应商</w:t>
      </w:r>
      <w:r>
        <w:rPr>
          <w:rFonts w:hint="eastAsia" w:ascii="宋体" w:hAnsi="宋体"/>
          <w:color w:val="000000" w:themeColor="text1"/>
          <w:sz w:val="24"/>
          <w:szCs w:val="24"/>
        </w:rPr>
        <w:t>及（法定代表人、股东、管理人员、员工）与其他响应商不存在：参股、隶属、管理等关联关系或其他有可能影响到采购活动公正性利害的关系。（提供加盖单位章的声明函）。</w:t>
      </w:r>
    </w:p>
    <w:p>
      <w:pPr>
        <w:spacing w:line="500" w:lineRule="exact"/>
        <w:ind w:right="600" w:firstLine="640" w:firstLineChars="200"/>
        <w:jc w:val="center"/>
        <w:rPr>
          <w:rFonts w:ascii="宋体" w:hAnsi="宋体"/>
          <w:color w:val="000000" w:themeColor="text1"/>
          <w:sz w:val="32"/>
          <w:szCs w:val="32"/>
        </w:rPr>
      </w:pPr>
    </w:p>
    <w:p>
      <w:pPr>
        <w:spacing w:line="500" w:lineRule="exact"/>
        <w:ind w:right="600" w:firstLine="640" w:firstLineChars="200"/>
        <w:jc w:val="center"/>
        <w:rPr>
          <w:rFonts w:ascii="宋体" w:hAnsi="宋体"/>
          <w:color w:val="000000" w:themeColor="text1"/>
          <w:sz w:val="32"/>
          <w:szCs w:val="32"/>
        </w:rPr>
      </w:pPr>
      <w:r>
        <w:rPr>
          <w:rFonts w:hint="eastAsia" w:ascii="宋体" w:hAnsi="宋体"/>
          <w:color w:val="000000" w:themeColor="text1"/>
          <w:sz w:val="32"/>
          <w:szCs w:val="32"/>
        </w:rPr>
        <w:t xml:space="preserve">声明函 </w:t>
      </w:r>
    </w:p>
    <w:p>
      <w:pPr>
        <w:spacing w:line="500" w:lineRule="exact"/>
        <w:ind w:right="600" w:firstLine="480" w:firstLineChars="200"/>
        <w:rPr>
          <w:rFonts w:ascii="宋体" w:hAnsi="宋体"/>
          <w:color w:val="000000" w:themeColor="text1"/>
          <w:sz w:val="24"/>
          <w:szCs w:val="24"/>
        </w:rPr>
      </w:pPr>
    </w:p>
    <w:p>
      <w:pPr>
        <w:spacing w:line="500" w:lineRule="exact"/>
        <w:ind w:right="600" w:firstLine="480" w:firstLineChars="200"/>
        <w:rPr>
          <w:rFonts w:ascii="宋体" w:hAnsi="宋体"/>
          <w:color w:val="000000" w:themeColor="text1"/>
          <w:sz w:val="24"/>
          <w:szCs w:val="24"/>
        </w:rPr>
      </w:pPr>
      <w:r>
        <w:rPr>
          <w:rFonts w:hint="eastAsia" w:ascii="宋体" w:hAnsi="宋体"/>
          <w:color w:val="000000" w:themeColor="text1"/>
          <w:sz w:val="24"/>
          <w:szCs w:val="24"/>
        </w:rPr>
        <w:t>致：海南省技师学院</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我单位郑重声明：</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 xml:space="preserve">1、我单位在参加政府采购活动前三年内（成立不足三年的从成立之日起算），在经营活动中没有重大违法记录；  </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2、我单位</w:t>
      </w:r>
      <w:r>
        <w:rPr>
          <w:rFonts w:ascii="宋体" w:hAnsi="宋体"/>
          <w:color w:val="000000" w:themeColor="text1"/>
          <w:sz w:val="24"/>
          <w:szCs w:val="24"/>
        </w:rPr>
        <w:t xml:space="preserve">具有履行合同所必需的设备和专业技术能力； </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3、我单位及（法定代表人、股东、管理人员、员工）与其他响应商不存在：参股、隶属、管理等关联关系或其他有可能影响到采购活动公正性的利害关系。</w:t>
      </w:r>
    </w:p>
    <w:p>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如有不实</w:t>
      </w:r>
      <w:r>
        <w:rPr>
          <w:rFonts w:hint="eastAsia" w:ascii="宋体" w:hAnsi="宋体"/>
          <w:color w:val="000000" w:themeColor="text1"/>
          <w:sz w:val="24"/>
          <w:szCs w:val="24"/>
        </w:rPr>
        <w:t>，</w:t>
      </w:r>
      <w:r>
        <w:rPr>
          <w:rFonts w:ascii="宋体" w:hAnsi="宋体"/>
          <w:color w:val="000000" w:themeColor="text1"/>
          <w:sz w:val="24"/>
          <w:szCs w:val="24"/>
        </w:rPr>
        <w:t>我单位愿意承担对此所引起的一切后果</w:t>
      </w:r>
      <w:r>
        <w:rPr>
          <w:rFonts w:hint="eastAsia" w:ascii="宋体" w:hAnsi="宋体"/>
          <w:color w:val="000000" w:themeColor="text1"/>
          <w:sz w:val="24"/>
          <w:szCs w:val="24"/>
        </w:rPr>
        <w:t>。</w:t>
      </w:r>
    </w:p>
    <w:p>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特此声明</w:t>
      </w:r>
      <w:r>
        <w:rPr>
          <w:rFonts w:hint="eastAsia" w:ascii="宋体" w:hAnsi="宋体"/>
          <w:color w:val="000000" w:themeColor="text1"/>
          <w:sz w:val="24"/>
          <w:szCs w:val="24"/>
        </w:rPr>
        <w:t>。</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rPr>
        <w:t xml:space="preserve">                   供应商：             （盖章）</w:t>
      </w:r>
    </w:p>
    <w:p>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rPr>
        <w:t xml:space="preserve">                  日  期：       年    月   日</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jc w:val="both"/>
        <w:rPr>
          <w:rFonts w:ascii="宋体" w:hAnsi="宋体"/>
          <w:color w:val="000000" w:themeColor="text1"/>
          <w:sz w:val="24"/>
          <w:szCs w:val="24"/>
        </w:rPr>
      </w:pPr>
    </w:p>
    <w:p>
      <w:pPr>
        <w:rPr>
          <w:rFonts w:ascii="宋体" w:hAnsi="宋体"/>
          <w:color w:val="000000" w:themeColor="text1"/>
          <w:sz w:val="24"/>
          <w:szCs w:val="24"/>
        </w:rPr>
      </w:pPr>
      <w:r>
        <w:rPr>
          <w:rFonts w:hint="eastAsia" w:ascii="宋体" w:hAnsi="宋体"/>
          <w:color w:val="000000" w:themeColor="text1"/>
          <w:sz w:val="24"/>
          <w:szCs w:val="24"/>
        </w:rPr>
        <w:br w:type="page"/>
      </w:r>
    </w:p>
    <w:p>
      <w:pPr>
        <w:numPr>
          <w:ilvl w:val="0"/>
          <w:numId w:val="28"/>
        </w:numPr>
        <w:spacing w:line="500" w:lineRule="exact"/>
        <w:ind w:right="600" w:firstLine="480"/>
        <w:jc w:val="both"/>
        <w:rPr>
          <w:rFonts w:ascii="宋体" w:hAnsi="宋体"/>
          <w:color w:val="000000" w:themeColor="text1"/>
          <w:sz w:val="24"/>
          <w:szCs w:val="24"/>
        </w:rPr>
      </w:pPr>
      <w:r>
        <w:rPr>
          <w:rFonts w:hint="eastAsia" w:ascii="宋体" w:hAnsi="宋体"/>
          <w:color w:val="000000" w:themeColor="text1"/>
          <w:sz w:val="24"/>
          <w:szCs w:val="24"/>
        </w:rPr>
        <w:t>质量承诺函。</w:t>
      </w:r>
    </w:p>
    <w:p>
      <w:pPr>
        <w:spacing w:line="500" w:lineRule="exact"/>
        <w:ind w:right="600" w:firstLine="480" w:firstLineChars="200"/>
        <w:rPr>
          <w:rFonts w:ascii="宋体" w:hAnsi="宋体"/>
          <w:color w:val="000000" w:themeColor="text1"/>
          <w:sz w:val="24"/>
          <w:szCs w:val="24"/>
        </w:rPr>
      </w:pPr>
    </w:p>
    <w:p>
      <w:pPr>
        <w:spacing w:line="500" w:lineRule="exact"/>
        <w:ind w:right="600" w:firstLine="480" w:firstLineChars="200"/>
        <w:rPr>
          <w:rFonts w:ascii="宋体" w:hAnsi="宋体"/>
          <w:color w:val="000000" w:themeColor="text1"/>
          <w:sz w:val="24"/>
          <w:szCs w:val="24"/>
        </w:rPr>
      </w:pPr>
    </w:p>
    <w:p>
      <w:pPr>
        <w:spacing w:line="500" w:lineRule="exact"/>
        <w:ind w:right="600" w:firstLine="480" w:firstLineChars="200"/>
        <w:rPr>
          <w:rFonts w:ascii="宋体" w:hAnsi="宋体"/>
          <w:color w:val="000000" w:themeColor="text1"/>
          <w:sz w:val="24"/>
          <w:szCs w:val="24"/>
        </w:rPr>
      </w:pPr>
      <w:r>
        <w:rPr>
          <w:rFonts w:hint="eastAsia" w:ascii="宋体" w:hAnsi="宋体"/>
          <w:color w:val="000000" w:themeColor="text1"/>
          <w:sz w:val="24"/>
          <w:szCs w:val="24"/>
        </w:rPr>
        <w:t>致：海南省技师学院</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我单位郑重承诺：</w:t>
      </w:r>
    </w:p>
    <w:p>
      <w:pPr>
        <w:spacing w:line="360" w:lineRule="auto"/>
        <w:ind w:firstLine="480" w:firstLineChars="200"/>
        <w:rPr>
          <w:rFonts w:ascii="宋体" w:hAnsi="宋体"/>
          <w:b/>
          <w:bCs/>
          <w:sz w:val="24"/>
          <w:szCs w:val="24"/>
        </w:rPr>
      </w:pPr>
      <w:r>
        <w:rPr>
          <w:rFonts w:hint="eastAsia" w:ascii="宋体" w:hAnsi="宋体"/>
          <w:bCs/>
          <w:sz w:val="24"/>
          <w:szCs w:val="24"/>
        </w:rPr>
        <w:t>1.货物为原制造商制造的全新产品，整机无污染，无侵权、无隐患，在境内可安全合法使用。</w:t>
      </w:r>
    </w:p>
    <w:p>
      <w:pPr>
        <w:spacing w:line="360" w:lineRule="auto"/>
        <w:ind w:firstLine="480" w:firstLineChars="200"/>
        <w:rPr>
          <w:rFonts w:ascii="宋体" w:hAnsi="宋体"/>
          <w:b/>
          <w:bCs/>
          <w:sz w:val="24"/>
          <w:szCs w:val="24"/>
        </w:rPr>
      </w:pPr>
      <w:r>
        <w:rPr>
          <w:rFonts w:hint="eastAsia" w:ascii="宋体" w:hAnsi="宋体"/>
          <w:bCs/>
          <w:sz w:val="24"/>
          <w:szCs w:val="24"/>
        </w:rPr>
        <w:t xml:space="preserve">2.交付验收符合中华人民共和国国家安全质量标准、环保标准或行业标准；符合响应承诺中甲方认可的合理最佳配置、参数及各项要求。    </w:t>
      </w:r>
    </w:p>
    <w:p>
      <w:pPr>
        <w:tabs>
          <w:tab w:val="left" w:pos="735"/>
        </w:tabs>
        <w:spacing w:line="360" w:lineRule="auto"/>
        <w:ind w:firstLine="480" w:firstLineChars="200"/>
        <w:rPr>
          <w:rFonts w:ascii="宋体" w:hAnsi="宋体"/>
          <w:b/>
          <w:bCs/>
          <w:sz w:val="24"/>
          <w:szCs w:val="24"/>
        </w:rPr>
      </w:pPr>
      <w:r>
        <w:rPr>
          <w:rFonts w:hint="eastAsia" w:ascii="宋体" w:hAnsi="宋体"/>
          <w:bCs/>
          <w:sz w:val="24"/>
          <w:szCs w:val="24"/>
        </w:rPr>
        <w:t>3.货物为原厂商未启封全新包装，具出厂合格证，序列号、包装箱号与出厂批号一致，并可追索查阅。</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4.产品提供</w:t>
      </w:r>
      <w:r>
        <w:rPr>
          <w:rFonts w:hint="eastAsia" w:ascii="宋体" w:hAnsi="宋体"/>
          <w:color w:val="000000" w:themeColor="text1"/>
          <w:sz w:val="24"/>
          <w:szCs w:val="24"/>
          <w:highlight w:val="yellow"/>
        </w:rPr>
        <w:t>两年质保</w:t>
      </w:r>
      <w:r>
        <w:rPr>
          <w:rFonts w:hint="eastAsia" w:ascii="宋体" w:hAnsi="宋体"/>
          <w:color w:val="000000" w:themeColor="text1"/>
          <w:sz w:val="24"/>
          <w:szCs w:val="24"/>
        </w:rPr>
        <w:t>，质保期内</w:t>
      </w:r>
      <w:r>
        <w:rPr>
          <w:rFonts w:hint="eastAsia" w:ascii="宋体" w:hAnsi="宋体"/>
          <w:bCs/>
          <w:sz w:val="24"/>
          <w:szCs w:val="24"/>
        </w:rPr>
        <w:t>对所供货物实行包修、包换、包退、包维护保养。</w:t>
      </w:r>
    </w:p>
    <w:p>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如有不实</w:t>
      </w:r>
      <w:r>
        <w:rPr>
          <w:rFonts w:hint="eastAsia" w:ascii="宋体" w:hAnsi="宋体"/>
          <w:color w:val="000000" w:themeColor="text1"/>
          <w:sz w:val="24"/>
          <w:szCs w:val="24"/>
        </w:rPr>
        <w:t>，</w:t>
      </w:r>
      <w:r>
        <w:rPr>
          <w:rFonts w:ascii="宋体" w:hAnsi="宋体"/>
          <w:color w:val="000000" w:themeColor="text1"/>
          <w:sz w:val="24"/>
          <w:szCs w:val="24"/>
        </w:rPr>
        <w:t>我单位愿意承担对此所引起的一切后果</w:t>
      </w:r>
      <w:r>
        <w:rPr>
          <w:rFonts w:hint="eastAsia" w:ascii="宋体" w:hAnsi="宋体"/>
          <w:color w:val="000000" w:themeColor="text1"/>
          <w:sz w:val="24"/>
          <w:szCs w:val="24"/>
        </w:rPr>
        <w:t>。</w:t>
      </w:r>
    </w:p>
    <w:p>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特此</w:t>
      </w:r>
      <w:r>
        <w:rPr>
          <w:rFonts w:hint="eastAsia" w:ascii="宋体" w:hAnsi="宋体"/>
          <w:color w:val="000000" w:themeColor="text1"/>
          <w:sz w:val="24"/>
          <w:szCs w:val="24"/>
        </w:rPr>
        <w:t>承诺。</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rPr>
        <w:t xml:space="preserve">                              供应商：            （盖章）</w:t>
      </w:r>
    </w:p>
    <w:p>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rPr>
        <w:t xml:space="preserve">                             日  期：       年   月   日</w:t>
      </w:r>
    </w:p>
    <w:p>
      <w:pPr>
        <w:rPr>
          <w:rFonts w:ascii="宋体" w:hAnsi="宋体"/>
          <w:color w:val="000000" w:themeColor="text1"/>
          <w:sz w:val="24"/>
          <w:szCs w:val="24"/>
        </w:rPr>
      </w:pPr>
      <w:r>
        <w:rPr>
          <w:rFonts w:hint="eastAsia" w:ascii="宋体" w:hAnsi="宋体"/>
          <w:color w:val="000000" w:themeColor="text1"/>
          <w:sz w:val="24"/>
          <w:szCs w:val="24"/>
        </w:rPr>
        <w:br w:type="page"/>
      </w:r>
    </w:p>
    <w:p>
      <w:pPr>
        <w:rPr>
          <w:rFonts w:ascii="宋体" w:hAnsi="宋体"/>
          <w:color w:val="000000" w:themeColor="text1"/>
          <w:sz w:val="24"/>
          <w:szCs w:val="24"/>
        </w:rPr>
      </w:pPr>
    </w:p>
    <w:p>
      <w:pPr>
        <w:numPr>
          <w:ilvl w:val="0"/>
          <w:numId w:val="28"/>
        </w:numPr>
        <w:spacing w:line="500" w:lineRule="exact"/>
        <w:ind w:right="600" w:firstLine="480"/>
        <w:jc w:val="both"/>
        <w:rPr>
          <w:rFonts w:ascii="宋体" w:hAnsi="宋体"/>
          <w:color w:val="000000" w:themeColor="text1"/>
          <w:sz w:val="24"/>
          <w:szCs w:val="24"/>
        </w:rPr>
      </w:pPr>
      <w:r>
        <w:rPr>
          <w:rFonts w:hint="eastAsia" w:ascii="宋体" w:hAnsi="宋体"/>
          <w:color w:val="000000" w:themeColor="text1"/>
          <w:sz w:val="24"/>
          <w:szCs w:val="24"/>
        </w:rPr>
        <w:t>供应商认为对响应有利的其他证明材料。</w:t>
      </w:r>
    </w:p>
    <w:p>
      <w:pPr>
        <w:spacing w:line="500" w:lineRule="exact"/>
        <w:ind w:left="420" w:right="600"/>
        <w:jc w:val="both"/>
        <w:rPr>
          <w:rFonts w:ascii="宋体" w:hAnsi="宋体"/>
          <w:color w:val="000000" w:themeColor="text1"/>
          <w:sz w:val="24"/>
          <w:szCs w:val="24"/>
        </w:rPr>
      </w:pPr>
    </w:p>
    <w:p>
      <w:pPr>
        <w:spacing w:line="500" w:lineRule="exact"/>
        <w:ind w:left="420" w:right="600"/>
        <w:jc w:val="both"/>
        <w:rPr>
          <w:rFonts w:ascii="宋体" w:hAnsi="宋体"/>
          <w:color w:val="000000" w:themeColor="text1"/>
          <w:sz w:val="24"/>
          <w:szCs w:val="24"/>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jc w:val="both"/>
        <w:outlineLvl w:val="1"/>
        <w:rPr>
          <w:color w:val="000000" w:themeColor="text1"/>
        </w:rPr>
      </w:pPr>
    </w:p>
    <w:p>
      <w:pPr>
        <w:pStyle w:val="288"/>
        <w:spacing w:before="156" w:after="156"/>
        <w:outlineLvl w:val="1"/>
        <w:rPr>
          <w:color w:val="000000" w:themeColor="text1"/>
        </w:rPr>
      </w:pPr>
      <w:r>
        <w:rPr>
          <w:rFonts w:hint="eastAsia"/>
          <w:color w:val="000000" w:themeColor="text1"/>
        </w:rPr>
        <w:t>八、用户需求响应情况表</w:t>
      </w:r>
      <w:bookmarkEnd w:id="101"/>
    </w:p>
    <w:p>
      <w:pPr>
        <w:spacing w:line="500" w:lineRule="exact"/>
        <w:rPr>
          <w:rFonts w:asciiTheme="majorEastAsia" w:hAnsiTheme="majorEastAsia" w:eastAsiaTheme="majorEastAsia"/>
          <w:szCs w:val="21"/>
        </w:rPr>
      </w:pPr>
      <w:r>
        <w:rPr>
          <w:rFonts w:hint="eastAsia" w:asciiTheme="majorEastAsia" w:hAnsiTheme="majorEastAsia" w:eastAsiaTheme="majorEastAsia"/>
          <w:szCs w:val="21"/>
        </w:rPr>
        <w:t>项目名称：智能网联汽车（智能载运技术）设备项目校内采购</w:t>
      </w:r>
    </w:p>
    <w:p>
      <w:pPr>
        <w:spacing w:line="500" w:lineRule="exact"/>
        <w:rPr>
          <w:rFonts w:asciiTheme="majorEastAsia" w:hAnsiTheme="majorEastAsia" w:eastAsiaTheme="majorEastAsia"/>
          <w:szCs w:val="21"/>
        </w:rPr>
      </w:pPr>
      <w:r>
        <w:rPr>
          <w:rFonts w:hint="eastAsia" w:asciiTheme="majorEastAsia" w:hAnsiTheme="majorEastAsia" w:eastAsiaTheme="majorEastAsia"/>
          <w:szCs w:val="21"/>
        </w:rPr>
        <w:t>标包编号：HNSJSHWFW-2022-31</w:t>
      </w:r>
    </w:p>
    <w:p>
      <w:pPr>
        <w:spacing w:line="500" w:lineRule="exact"/>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说明：响应人必须仔细阅读磋商文件“用户需求书”的相关内容商务、技术条款，响应人递交的响应文件相关内容条款与招标文件要求不同时，应逐条列响应表中，否则将认为响应人接受招标文件的要求。</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23"/>
        <w:gridCol w:w="2126"/>
        <w:gridCol w:w="1843"/>
        <w:gridCol w:w="198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vAlign w:val="center"/>
          </w:tcPr>
          <w:p>
            <w:pPr>
              <w:snapToGrid w:val="0"/>
              <w:jc w:val="center"/>
              <w:rPr>
                <w:rFonts w:ascii="宋体" w:hAnsi="Calibri"/>
                <w:szCs w:val="21"/>
              </w:rPr>
            </w:pPr>
            <w:r>
              <w:rPr>
                <w:rFonts w:ascii="宋体" w:hAnsi="宋体"/>
                <w:szCs w:val="21"/>
              </w:rPr>
              <w:t>序号</w:t>
            </w:r>
          </w:p>
        </w:tc>
        <w:tc>
          <w:tcPr>
            <w:tcW w:w="1323" w:type="dxa"/>
            <w:vAlign w:val="center"/>
          </w:tcPr>
          <w:p>
            <w:pPr>
              <w:snapToGrid w:val="0"/>
              <w:jc w:val="center"/>
              <w:rPr>
                <w:rFonts w:ascii="宋体" w:hAnsi="Calibri"/>
                <w:szCs w:val="21"/>
              </w:rPr>
            </w:pPr>
            <w:r>
              <w:rPr>
                <w:rFonts w:ascii="宋体" w:hAnsi="宋体" w:cs="宋体"/>
              </w:rPr>
              <w:t>内容</w:t>
            </w:r>
          </w:p>
        </w:tc>
        <w:tc>
          <w:tcPr>
            <w:tcW w:w="2126" w:type="dxa"/>
            <w:vAlign w:val="center"/>
          </w:tcPr>
          <w:p>
            <w:pPr>
              <w:snapToGrid w:val="0"/>
              <w:jc w:val="center"/>
              <w:rPr>
                <w:rFonts w:ascii="宋体" w:hAnsi="Calibri"/>
                <w:szCs w:val="21"/>
              </w:rPr>
            </w:pPr>
            <w:r>
              <w:rPr>
                <w:rFonts w:ascii="宋体" w:hAnsi="宋体"/>
                <w:szCs w:val="21"/>
              </w:rPr>
              <w:t>采购需求书中的要求</w:t>
            </w:r>
          </w:p>
        </w:tc>
        <w:tc>
          <w:tcPr>
            <w:tcW w:w="1843" w:type="dxa"/>
            <w:vAlign w:val="center"/>
          </w:tcPr>
          <w:p>
            <w:pPr>
              <w:snapToGrid w:val="0"/>
              <w:jc w:val="center"/>
              <w:rPr>
                <w:rFonts w:ascii="宋体" w:hAnsi="宋体"/>
                <w:szCs w:val="21"/>
              </w:rPr>
            </w:pPr>
            <w:r>
              <w:rPr>
                <w:rFonts w:hint="eastAsia" w:ascii="宋体" w:hAnsi="宋体"/>
                <w:szCs w:val="21"/>
              </w:rPr>
              <w:t>响应</w:t>
            </w:r>
            <w:r>
              <w:rPr>
                <w:rFonts w:ascii="宋体" w:hAnsi="宋体"/>
                <w:szCs w:val="21"/>
              </w:rPr>
              <w:t>人的响应</w:t>
            </w:r>
          </w:p>
          <w:p>
            <w:pPr>
              <w:snapToGrid w:val="0"/>
              <w:jc w:val="center"/>
              <w:rPr>
                <w:rFonts w:ascii="宋体" w:hAnsi="Calibri"/>
                <w:szCs w:val="21"/>
              </w:rPr>
            </w:pPr>
            <w:r>
              <w:rPr>
                <w:rFonts w:ascii="宋体" w:hAnsi="宋体"/>
                <w:szCs w:val="21"/>
              </w:rPr>
              <w:t>（逐条对应编写）</w:t>
            </w:r>
          </w:p>
        </w:tc>
        <w:tc>
          <w:tcPr>
            <w:tcW w:w="1984" w:type="dxa"/>
            <w:vAlign w:val="center"/>
          </w:tcPr>
          <w:p>
            <w:pPr>
              <w:snapToGrid w:val="0"/>
              <w:jc w:val="center"/>
              <w:rPr>
                <w:rFonts w:ascii="宋体" w:hAnsi="宋体"/>
                <w:szCs w:val="21"/>
              </w:rPr>
            </w:pPr>
            <w:r>
              <w:rPr>
                <w:rFonts w:ascii="宋体" w:hAnsi="宋体"/>
                <w:szCs w:val="21"/>
              </w:rPr>
              <w:t>偏离情况说明</w:t>
            </w:r>
          </w:p>
          <w:p>
            <w:pPr>
              <w:snapToGrid w:val="0"/>
              <w:jc w:val="center"/>
              <w:rPr>
                <w:rFonts w:ascii="宋体" w:hAnsi="Calibri"/>
                <w:szCs w:val="21"/>
              </w:rPr>
            </w:pPr>
            <w:r>
              <w:rPr>
                <w:rFonts w:ascii="宋体" w:hAnsi="宋体"/>
                <w:szCs w:val="21"/>
              </w:rPr>
              <w:t>（＋/-）</w:t>
            </w:r>
          </w:p>
        </w:tc>
        <w:tc>
          <w:tcPr>
            <w:tcW w:w="1418" w:type="dxa"/>
            <w:vAlign w:val="center"/>
          </w:tcPr>
          <w:p>
            <w:pPr>
              <w:jc w:val="center"/>
              <w:rPr>
                <w:rFonts w:ascii="宋体" w:hAnsi="Calibri"/>
                <w:szCs w:val="21"/>
              </w:rPr>
            </w:pPr>
            <w:r>
              <w:rPr>
                <w:rFonts w:ascii="宋体" w:hAnsi="宋体"/>
                <w:szCs w:val="21"/>
              </w:rPr>
              <w:t>相关证明材料的页码索引（如有）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napToGrid w:val="0"/>
              <w:rPr>
                <w:rFonts w:ascii="宋体" w:hAnsi="宋体"/>
                <w:szCs w:val="21"/>
              </w:rPr>
            </w:pPr>
            <w:r>
              <w:rPr>
                <w:rFonts w:hint="eastAsia" w:ascii="宋体" w:hAnsi="宋体"/>
                <w:szCs w:val="21"/>
              </w:rPr>
              <w:t>未列入本表内容，视为完全响应</w:t>
            </w: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70" w:type="dxa"/>
          </w:tcPr>
          <w:p>
            <w:pPr>
              <w:spacing w:line="500" w:lineRule="exact"/>
              <w:jc w:val="center"/>
              <w:rPr>
                <w:rFonts w:asciiTheme="majorEastAsia" w:hAnsiTheme="majorEastAsia" w:eastAsiaTheme="majorEastAsia"/>
                <w:spacing w:val="-8"/>
                <w:szCs w:val="21"/>
              </w:rPr>
            </w:pPr>
            <w:r>
              <w:rPr>
                <w:rFonts w:hint="eastAsia" w:asciiTheme="majorEastAsia" w:hAnsiTheme="majorEastAsia" w:eastAsiaTheme="majorEastAsia"/>
                <w:spacing w:val="-8"/>
                <w:szCs w:val="21"/>
              </w:rPr>
              <w:t>备注</w:t>
            </w:r>
          </w:p>
        </w:tc>
        <w:tc>
          <w:tcPr>
            <w:tcW w:w="8694" w:type="dxa"/>
            <w:gridSpan w:val="5"/>
          </w:tcPr>
          <w:p>
            <w:pPr>
              <w:spacing w:line="500" w:lineRule="exact"/>
              <w:ind w:firstLine="388" w:firstLineChars="200"/>
              <w:jc w:val="center"/>
              <w:rPr>
                <w:rFonts w:asciiTheme="majorEastAsia" w:hAnsiTheme="majorEastAsia" w:eastAsiaTheme="majorEastAsia"/>
                <w:spacing w:val="-8"/>
                <w:szCs w:val="21"/>
              </w:rPr>
            </w:pPr>
          </w:p>
        </w:tc>
      </w:tr>
    </w:tbl>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说明：注：1、此表为表样，行数可自行添加，但表式不变。</w:t>
      </w:r>
      <w:r>
        <w:rPr>
          <w:rFonts w:hint="eastAsia" w:asciiTheme="majorEastAsia" w:hAnsiTheme="majorEastAsia" w:eastAsiaTheme="majorEastAsia"/>
          <w:spacing w:val="-8"/>
          <w:szCs w:val="21"/>
        </w:rPr>
        <w:tab/>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2、是否偏离用符号“+、-”分别表示正偏离、负偏离，必须逐次对应响应。（正偏离意为优于采购需求书条款）</w:t>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响应人名称：（盖公章）</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法定代表人或授权代表签字：</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日      期：</w:t>
      </w:r>
      <w:bookmarkStart w:id="102" w:name="_Toc500352191"/>
    </w:p>
    <w:p>
      <w:pPr>
        <w:spacing w:before="156" w:after="156"/>
        <w:rPr>
          <w:color w:val="000000" w:themeColor="text1"/>
        </w:rPr>
      </w:pPr>
    </w:p>
    <w:p>
      <w:pPr>
        <w:spacing w:before="156" w:after="156"/>
        <w:jc w:val="both"/>
        <w:outlineLvl w:val="0"/>
        <w:rPr>
          <w:rFonts w:asciiTheme="minorEastAsia" w:hAnsiTheme="minorEastAsia" w:eastAsiaTheme="minorEastAsia"/>
          <w:sz w:val="24"/>
          <w:szCs w:val="24"/>
        </w:rPr>
      </w:pPr>
    </w:p>
    <w:p>
      <w:pPr>
        <w:rPr>
          <w:rFonts w:hint="eastAsia"/>
          <w:b/>
          <w:color w:val="000000" w:themeColor="text1"/>
          <w:sz w:val="32"/>
          <w:szCs w:val="32"/>
        </w:rPr>
      </w:pPr>
      <w:bookmarkStart w:id="103" w:name="_Toc116920211"/>
      <w:r>
        <w:rPr>
          <w:rFonts w:hint="eastAsia"/>
          <w:b/>
          <w:color w:val="000000" w:themeColor="text1"/>
          <w:sz w:val="32"/>
          <w:szCs w:val="32"/>
        </w:rPr>
        <w:br w:type="page"/>
      </w:r>
    </w:p>
    <w:p>
      <w:pPr>
        <w:spacing w:before="156" w:after="156"/>
        <w:jc w:val="center"/>
        <w:outlineLvl w:val="0"/>
        <w:rPr>
          <w:b/>
          <w:color w:val="000000" w:themeColor="text1"/>
          <w:sz w:val="32"/>
          <w:szCs w:val="32"/>
        </w:rPr>
      </w:pPr>
      <w:r>
        <w:rPr>
          <w:rFonts w:hint="eastAsia"/>
          <w:b/>
          <w:color w:val="000000" w:themeColor="text1"/>
          <w:sz w:val="32"/>
          <w:szCs w:val="32"/>
        </w:rPr>
        <w:t>第六章评审办法</w:t>
      </w:r>
      <w:bookmarkEnd w:id="100"/>
      <w:bookmarkEnd w:id="102"/>
      <w:bookmarkEnd w:id="103"/>
    </w:p>
    <w:p>
      <w:pPr>
        <w:spacing w:line="480" w:lineRule="exact"/>
        <w:jc w:val="center"/>
        <w:rPr>
          <w:rFonts w:ascii="宋体" w:hAnsi="宋体"/>
          <w:b/>
          <w:color w:val="000000" w:themeColor="text1"/>
          <w:kern w:val="28"/>
          <w:sz w:val="36"/>
          <w:szCs w:val="36"/>
        </w:rPr>
      </w:pP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 谈判小组将审查响应文件有关资格证明文件是否齐全有效、响应有效期是否满足要求、是否实质性响应谈判文件的要求。</w:t>
      </w:r>
    </w:p>
    <w:p>
      <w:pPr>
        <w:spacing w:line="500" w:lineRule="exact"/>
        <w:ind w:firstLine="482" w:firstLineChars="200"/>
        <w:rPr>
          <w:rFonts w:ascii="宋体" w:hAnsi="宋体"/>
          <w:b/>
          <w:color w:val="000000" w:themeColor="text1"/>
          <w:sz w:val="24"/>
          <w:szCs w:val="24"/>
          <w:u w:val="single"/>
        </w:rPr>
      </w:pPr>
      <w:r>
        <w:rPr>
          <w:rFonts w:hint="eastAsia" w:ascii="宋体" w:hAnsi="宋体"/>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pPr>
        <w:spacing w:line="500" w:lineRule="exact"/>
        <w:ind w:firstLine="482" w:firstLineChars="200"/>
        <w:rPr>
          <w:rFonts w:ascii="宋体" w:hAnsi="宋体"/>
          <w:b/>
          <w:color w:val="000000" w:themeColor="text1"/>
          <w:sz w:val="24"/>
          <w:szCs w:val="24"/>
          <w:u w:val="single"/>
        </w:rPr>
      </w:pPr>
      <w:r>
        <w:rPr>
          <w:rFonts w:hint="eastAsia" w:ascii="宋体" w:hAnsi="宋体"/>
          <w:b/>
          <w:color w:val="000000" w:themeColor="text1"/>
          <w:sz w:val="24"/>
          <w:szCs w:val="24"/>
          <w:u w:val="single"/>
        </w:rPr>
        <w:t>4、根据财政部、工业和信息化部2020年12月18日颁布的《政府采购促进中小企业发展管理办法》（财库﹝202</w:t>
      </w:r>
      <w:r>
        <w:rPr>
          <w:rFonts w:hint="eastAsia" w:ascii="宋体" w:hAnsi="宋体"/>
          <w:b/>
          <w:color w:val="000000" w:themeColor="text1"/>
          <w:sz w:val="24"/>
          <w:szCs w:val="24"/>
          <w:u w:val="single"/>
          <w:lang w:val="en-US" w:eastAsia="zh-CN"/>
        </w:rPr>
        <w:t>0</w:t>
      </w:r>
      <w:r>
        <w:rPr>
          <w:rFonts w:hint="eastAsia" w:ascii="宋体" w:hAnsi="宋体"/>
          <w:b/>
          <w:color w:val="000000" w:themeColor="text1"/>
          <w:sz w:val="24"/>
          <w:szCs w:val="24"/>
          <w:u w:val="single"/>
        </w:rPr>
        <w:t>﹞</w:t>
      </w:r>
      <w:r>
        <w:rPr>
          <w:rFonts w:hint="eastAsia" w:ascii="宋体" w:hAnsi="宋体"/>
          <w:b/>
          <w:color w:val="000000" w:themeColor="text1"/>
          <w:sz w:val="24"/>
          <w:szCs w:val="24"/>
          <w:u w:val="single"/>
          <w:lang w:val="en-US" w:eastAsia="zh-CN"/>
        </w:rPr>
        <w:t>46</w:t>
      </w:r>
      <w:r>
        <w:rPr>
          <w:rFonts w:hint="eastAsia" w:ascii="宋体" w:hAnsi="宋体"/>
          <w:b/>
          <w:color w:val="000000" w:themeColor="text1"/>
          <w:sz w:val="24"/>
          <w:szCs w:val="24"/>
          <w:u w:val="single"/>
        </w:rPr>
        <w:t>号）规定，对小、微企业予以价格评分适当优惠。若供应商为小型或微型企业者，其参与评分的响应报价取值按响应报价的90%计（即按响应报价扣除10%后计算）。</w:t>
      </w:r>
    </w:p>
    <w:p>
      <w:pPr>
        <w:tabs>
          <w:tab w:val="left" w:pos="360"/>
        </w:tabs>
        <w:spacing w:line="500" w:lineRule="exact"/>
        <w:ind w:firstLine="562" w:firstLineChars="200"/>
        <w:rPr>
          <w:rFonts w:ascii="宋体" w:hAnsi="宋体"/>
          <w:b/>
          <w:color w:val="000000" w:themeColor="text1"/>
          <w:sz w:val="28"/>
          <w:szCs w:val="28"/>
          <w:u w:val="single"/>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spacing w:line="500" w:lineRule="exact"/>
        <w:rPr>
          <w:b/>
          <w:color w:val="000000" w:themeColor="text1"/>
          <w:sz w:val="30"/>
          <w:szCs w:val="30"/>
        </w:rPr>
      </w:pPr>
    </w:p>
    <w:p>
      <w:pPr>
        <w:rPr>
          <w:b/>
          <w:color w:val="000000" w:themeColor="text1"/>
          <w:sz w:val="30"/>
          <w:szCs w:val="30"/>
        </w:rPr>
      </w:pPr>
      <w:bookmarkStart w:id="104" w:name="_Toc116920212"/>
      <w:r>
        <w:rPr>
          <w:rFonts w:hint="eastAsia"/>
          <w:b/>
          <w:color w:val="000000" w:themeColor="text1"/>
          <w:sz w:val="30"/>
          <w:szCs w:val="30"/>
        </w:rPr>
        <w:br w:type="page"/>
      </w:r>
    </w:p>
    <w:p>
      <w:pPr>
        <w:spacing w:line="500" w:lineRule="exact"/>
        <w:jc w:val="center"/>
        <w:outlineLvl w:val="1"/>
        <w:rPr>
          <w:b/>
          <w:color w:val="000000" w:themeColor="text1"/>
          <w:sz w:val="30"/>
          <w:szCs w:val="30"/>
        </w:rPr>
      </w:pPr>
      <w:r>
        <w:rPr>
          <w:rFonts w:hint="eastAsia"/>
          <w:b/>
          <w:color w:val="000000" w:themeColor="text1"/>
          <w:sz w:val="30"/>
          <w:szCs w:val="30"/>
        </w:rPr>
        <w:t>资格审查表</w:t>
      </w:r>
      <w:bookmarkEnd w:id="104"/>
    </w:p>
    <w:p>
      <w:pPr>
        <w:spacing w:line="440" w:lineRule="exact"/>
        <w:rPr>
          <w:rFonts w:ascii="宋体" w:hAnsi="宋体"/>
          <w:color w:val="000000" w:themeColor="text1"/>
          <w:sz w:val="24"/>
          <w:szCs w:val="24"/>
        </w:rPr>
      </w:pPr>
      <w:r>
        <w:rPr>
          <w:rFonts w:hint="eastAsia" w:ascii="宋体" w:hAnsi="宋体"/>
          <w:color w:val="000000" w:themeColor="text1"/>
          <w:sz w:val="24"/>
          <w:szCs w:val="24"/>
        </w:rPr>
        <w:t>项目名称：智能网联汽车（智能载运技术）设备项目校内采购</w:t>
      </w:r>
    </w:p>
    <w:p>
      <w:pPr>
        <w:spacing w:line="440" w:lineRule="exact"/>
        <w:rPr>
          <w:rFonts w:ascii="宋体" w:hAnsi="宋体"/>
          <w:color w:val="000000" w:themeColor="text1"/>
          <w:sz w:val="24"/>
          <w:szCs w:val="24"/>
        </w:rPr>
      </w:pPr>
      <w:r>
        <w:rPr>
          <w:rFonts w:hint="eastAsia" w:ascii="宋体" w:hAnsi="宋体"/>
          <w:color w:val="000000" w:themeColor="text1"/>
          <w:sz w:val="24"/>
          <w:szCs w:val="24"/>
        </w:rPr>
        <w:t>标包编号：HNSJSHWFW-2024-25</w:t>
      </w:r>
    </w:p>
    <w:tbl>
      <w:tblPr>
        <w:tblStyle w:val="46"/>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841"/>
        <w:gridCol w:w="6512"/>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6" w:type="dxa"/>
            <w:vAlign w:val="center"/>
          </w:tcPr>
          <w:p>
            <w:pPr>
              <w:spacing w:line="240" w:lineRule="exact"/>
              <w:jc w:val="center"/>
              <w:rPr>
                <w:rFonts w:ascii="宋体" w:hAnsi="宋体"/>
                <w:b/>
                <w:color w:val="000000" w:themeColor="text1"/>
                <w:szCs w:val="21"/>
              </w:rPr>
            </w:pPr>
            <w:r>
              <w:rPr>
                <w:rFonts w:hint="eastAsia" w:ascii="宋体" w:hAnsi="宋体"/>
                <w:b/>
                <w:color w:val="000000" w:themeColor="text1"/>
                <w:szCs w:val="21"/>
              </w:rPr>
              <w:t>序号</w:t>
            </w:r>
          </w:p>
        </w:tc>
        <w:tc>
          <w:tcPr>
            <w:tcW w:w="1841" w:type="dxa"/>
            <w:vAlign w:val="center"/>
          </w:tcPr>
          <w:p>
            <w:pPr>
              <w:spacing w:line="240" w:lineRule="exact"/>
              <w:jc w:val="center"/>
              <w:rPr>
                <w:rFonts w:ascii="宋体" w:hAnsi="宋体"/>
                <w:b/>
                <w:color w:val="000000" w:themeColor="text1"/>
                <w:szCs w:val="21"/>
              </w:rPr>
            </w:pPr>
            <w:r>
              <w:rPr>
                <w:rFonts w:hint="eastAsia" w:ascii="宋体" w:hAnsi="宋体"/>
                <w:b/>
                <w:color w:val="000000" w:themeColor="text1"/>
                <w:szCs w:val="21"/>
              </w:rPr>
              <w:t>审查项目</w:t>
            </w:r>
          </w:p>
        </w:tc>
        <w:tc>
          <w:tcPr>
            <w:tcW w:w="6512" w:type="dxa"/>
            <w:vAlign w:val="center"/>
          </w:tcPr>
          <w:p>
            <w:pPr>
              <w:spacing w:line="240" w:lineRule="exact"/>
              <w:jc w:val="center"/>
              <w:rPr>
                <w:rFonts w:ascii="宋体" w:hAnsi="宋体"/>
                <w:b/>
                <w:color w:val="000000" w:themeColor="text1"/>
                <w:szCs w:val="21"/>
              </w:rPr>
            </w:pPr>
            <w:r>
              <w:rPr>
                <w:rFonts w:hint="eastAsia" w:ascii="宋体" w:hAnsi="宋体"/>
                <w:b/>
                <w:color w:val="000000" w:themeColor="text1"/>
                <w:szCs w:val="21"/>
              </w:rPr>
              <w:t>资格审查评议内容</w:t>
            </w:r>
          </w:p>
        </w:tc>
        <w:tc>
          <w:tcPr>
            <w:tcW w:w="902" w:type="dxa"/>
            <w:vAlign w:val="center"/>
          </w:tcPr>
          <w:p>
            <w:pPr>
              <w:spacing w:line="240" w:lineRule="exact"/>
              <w:jc w:val="center"/>
              <w:rPr>
                <w:rFonts w:ascii="宋体" w:hAnsi="宋体"/>
                <w:b/>
                <w:color w:val="000000" w:themeColor="text1"/>
                <w:szCs w:val="21"/>
              </w:rPr>
            </w:pPr>
            <w:r>
              <w:rPr>
                <w:rFonts w:hint="eastAsia" w:ascii="宋体" w:hAnsi="宋体"/>
                <w:b/>
                <w:color w:val="000000" w:themeColor="text1"/>
                <w:szCs w:val="21"/>
              </w:rPr>
              <w:t>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1</w:t>
            </w:r>
          </w:p>
        </w:tc>
        <w:tc>
          <w:tcPr>
            <w:tcW w:w="1841" w:type="dxa"/>
            <w:vAlign w:val="center"/>
          </w:tcPr>
          <w:p>
            <w:pPr>
              <w:spacing w:line="240" w:lineRule="exact"/>
              <w:jc w:val="center"/>
              <w:rPr>
                <w:color w:val="000000" w:themeColor="text1"/>
                <w:szCs w:val="21"/>
              </w:rPr>
            </w:pPr>
            <w:r>
              <w:rPr>
                <w:rFonts w:hint="eastAsia"/>
                <w:color w:val="000000" w:themeColor="text1"/>
                <w:szCs w:val="21"/>
              </w:rPr>
              <w:t>企业证件</w:t>
            </w:r>
          </w:p>
        </w:tc>
        <w:tc>
          <w:tcPr>
            <w:tcW w:w="6512" w:type="dxa"/>
            <w:vAlign w:val="center"/>
          </w:tcPr>
          <w:p>
            <w:pPr>
              <w:snapToGrid w:val="0"/>
              <w:spacing w:line="240" w:lineRule="exact"/>
              <w:rPr>
                <w:color w:val="000000" w:themeColor="text1"/>
                <w:szCs w:val="21"/>
              </w:rPr>
            </w:pPr>
            <w:r>
              <w:rPr>
                <w:rFonts w:hint="eastAsia"/>
                <w:color w:val="000000" w:themeColor="text1"/>
                <w:szCs w:val="21"/>
              </w:rPr>
              <w:t>具有企业法人资格的供应商，提供合法有效的</w:t>
            </w:r>
            <w:r>
              <w:rPr>
                <w:rFonts w:hint="eastAsia" w:ascii="宋体" w:hAnsi="宋体"/>
                <w:color w:val="000000" w:themeColor="text1"/>
                <w:szCs w:val="21"/>
              </w:rPr>
              <w:t>三证合一的营业执照。</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2</w:t>
            </w:r>
          </w:p>
        </w:tc>
        <w:tc>
          <w:tcPr>
            <w:tcW w:w="1841" w:type="dxa"/>
            <w:vAlign w:val="center"/>
          </w:tcPr>
          <w:p>
            <w:pPr>
              <w:spacing w:line="240" w:lineRule="exact"/>
              <w:jc w:val="center"/>
              <w:rPr>
                <w:color w:val="000000" w:themeColor="text1"/>
                <w:szCs w:val="21"/>
              </w:rPr>
            </w:pPr>
            <w:r>
              <w:rPr>
                <w:rFonts w:hint="eastAsia"/>
                <w:color w:val="000000" w:themeColor="text1"/>
                <w:szCs w:val="21"/>
              </w:rPr>
              <w:t>响应保证金</w:t>
            </w:r>
          </w:p>
        </w:tc>
        <w:tc>
          <w:tcPr>
            <w:tcW w:w="6512" w:type="dxa"/>
            <w:vAlign w:val="center"/>
          </w:tcPr>
          <w:p>
            <w:pPr>
              <w:spacing w:line="240" w:lineRule="exact"/>
              <w:rPr>
                <w:color w:val="000000" w:themeColor="text1"/>
                <w:szCs w:val="21"/>
              </w:rPr>
            </w:pPr>
            <w:r>
              <w:rPr>
                <w:rFonts w:hint="eastAsia"/>
                <w:color w:val="000000" w:themeColor="text1"/>
                <w:szCs w:val="21"/>
              </w:rPr>
              <w:t>无须提供</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3</w:t>
            </w:r>
          </w:p>
        </w:tc>
        <w:tc>
          <w:tcPr>
            <w:tcW w:w="1841" w:type="dxa"/>
            <w:vAlign w:val="center"/>
          </w:tcPr>
          <w:p>
            <w:pPr>
              <w:spacing w:line="240" w:lineRule="exact"/>
              <w:jc w:val="center"/>
              <w:rPr>
                <w:color w:val="000000" w:themeColor="text1"/>
                <w:szCs w:val="21"/>
              </w:rPr>
            </w:pPr>
            <w:r>
              <w:rPr>
                <w:rFonts w:hint="eastAsia"/>
                <w:color w:val="000000" w:themeColor="text1"/>
                <w:szCs w:val="21"/>
              </w:rPr>
              <w:t>良好的商业信誉和健全的财务会计制度</w:t>
            </w:r>
          </w:p>
        </w:tc>
        <w:tc>
          <w:tcPr>
            <w:tcW w:w="6512" w:type="dxa"/>
            <w:vAlign w:val="center"/>
          </w:tcPr>
          <w:p>
            <w:pPr>
              <w:spacing w:line="240" w:lineRule="exact"/>
              <w:rPr>
                <w:color w:val="000000" w:themeColor="text1"/>
                <w:szCs w:val="21"/>
              </w:rPr>
            </w:pPr>
            <w:r>
              <w:rPr>
                <w:rFonts w:hint="eastAsia"/>
                <w:color w:val="000000" w:themeColor="text1"/>
                <w:szCs w:val="21"/>
              </w:rPr>
              <w:t>提供会计师事务所出具的2023年度财务审计报告的复印件或者2023年01月至今任意3个月的财务报表的复印件。(需包含资产负债表、利润表）</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restart"/>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4</w:t>
            </w:r>
          </w:p>
        </w:tc>
        <w:tc>
          <w:tcPr>
            <w:tcW w:w="1841" w:type="dxa"/>
            <w:vMerge w:val="restart"/>
            <w:vAlign w:val="center"/>
          </w:tcPr>
          <w:p>
            <w:pPr>
              <w:spacing w:beforeLines="30" w:afterLines="30" w:line="240" w:lineRule="exact"/>
              <w:jc w:val="center"/>
              <w:rPr>
                <w:rFonts w:ascii="宋体" w:hAnsi="宋体"/>
                <w:color w:val="000000" w:themeColor="text1"/>
                <w:szCs w:val="21"/>
              </w:rPr>
            </w:pPr>
            <w:r>
              <w:rPr>
                <w:rFonts w:hint="eastAsia" w:ascii="宋体" w:hAnsi="宋体"/>
                <w:color w:val="000000" w:themeColor="text1"/>
                <w:szCs w:val="21"/>
              </w:rPr>
              <w:t>诚信及能力要求</w:t>
            </w:r>
          </w:p>
        </w:tc>
        <w:tc>
          <w:tcPr>
            <w:tcW w:w="6512" w:type="dxa"/>
            <w:vAlign w:val="center"/>
          </w:tcPr>
          <w:p>
            <w:pPr>
              <w:spacing w:line="240" w:lineRule="exact"/>
              <w:rPr>
                <w:rFonts w:ascii="宋体" w:hAnsi="宋体" w:cs="宋体"/>
                <w:color w:val="000000" w:themeColor="text1"/>
                <w:szCs w:val="21"/>
              </w:rPr>
            </w:pPr>
            <w:r>
              <w:rPr>
                <w:rFonts w:hint="eastAsia" w:ascii="宋体" w:hAnsi="宋体" w:cs="宋体"/>
                <w:color w:val="000000" w:themeColor="text1"/>
                <w:szCs w:val="21"/>
              </w:rPr>
              <w:t>1、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w:t>
            </w:r>
          </w:p>
        </w:tc>
        <w:tc>
          <w:tcPr>
            <w:tcW w:w="902" w:type="dxa"/>
            <w:vMerge w:val="restart"/>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continue"/>
            <w:vAlign w:val="center"/>
          </w:tcPr>
          <w:p>
            <w:pPr>
              <w:spacing w:line="240" w:lineRule="exact"/>
              <w:jc w:val="center"/>
              <w:rPr>
                <w:rFonts w:ascii="宋体" w:hAnsi="宋体"/>
                <w:color w:val="000000" w:themeColor="text1"/>
                <w:szCs w:val="21"/>
              </w:rPr>
            </w:pPr>
          </w:p>
        </w:tc>
        <w:tc>
          <w:tcPr>
            <w:tcW w:w="1841" w:type="dxa"/>
            <w:vMerge w:val="continue"/>
            <w:vAlign w:val="center"/>
          </w:tcPr>
          <w:p>
            <w:pPr>
              <w:spacing w:beforeLines="30" w:afterLines="30" w:line="240" w:lineRule="exact"/>
              <w:jc w:val="center"/>
              <w:rPr>
                <w:rFonts w:ascii="宋体" w:hAnsi="宋体"/>
                <w:color w:val="000000" w:themeColor="text1"/>
                <w:szCs w:val="21"/>
              </w:rPr>
            </w:pPr>
          </w:p>
        </w:tc>
        <w:tc>
          <w:tcPr>
            <w:tcW w:w="6512" w:type="dxa"/>
            <w:vAlign w:val="center"/>
          </w:tcPr>
          <w:p>
            <w:pPr>
              <w:spacing w:line="240" w:lineRule="exact"/>
              <w:rPr>
                <w:rFonts w:ascii="宋体" w:hAnsi="宋体" w:cs="宋体"/>
                <w:color w:val="000000" w:themeColor="text1"/>
                <w:szCs w:val="21"/>
              </w:rPr>
            </w:pPr>
            <w:r>
              <w:rPr>
                <w:rFonts w:hint="eastAsia" w:ascii="宋体" w:hAnsi="宋体" w:cs="宋体"/>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continue"/>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5</w:t>
            </w:r>
          </w:p>
        </w:tc>
        <w:tc>
          <w:tcPr>
            <w:tcW w:w="1841" w:type="dxa"/>
            <w:vAlign w:val="center"/>
          </w:tcPr>
          <w:p>
            <w:pPr>
              <w:spacing w:beforeLines="30" w:afterLines="30" w:line="240" w:lineRule="exact"/>
              <w:jc w:val="center"/>
              <w:rPr>
                <w:rFonts w:ascii="宋体" w:hAnsi="宋体"/>
                <w:color w:val="000000" w:themeColor="text1"/>
                <w:szCs w:val="21"/>
              </w:rPr>
            </w:pPr>
            <w:r>
              <w:rPr>
                <w:rFonts w:hint="eastAsia" w:ascii="宋体" w:hAnsi="宋体"/>
                <w:color w:val="000000" w:themeColor="text1"/>
                <w:szCs w:val="21"/>
              </w:rPr>
              <w:t>良好的纳税记录和良好的社会保障资金缴纳记录</w:t>
            </w:r>
          </w:p>
        </w:tc>
        <w:tc>
          <w:tcPr>
            <w:tcW w:w="6512" w:type="dxa"/>
          </w:tcPr>
          <w:p/>
          <w:p>
            <w:r>
              <w:rPr>
                <w:rFonts w:hint="eastAsia"/>
              </w:rPr>
              <w:t>提供2023年至今任意一个月的税收证明和社会保障缴费记录</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6</w:t>
            </w:r>
          </w:p>
        </w:tc>
        <w:tc>
          <w:tcPr>
            <w:tcW w:w="1841" w:type="dxa"/>
            <w:vAlign w:val="center"/>
          </w:tcPr>
          <w:p>
            <w:pPr>
              <w:spacing w:beforeLines="30" w:afterLines="30" w:line="240" w:lineRule="exact"/>
              <w:jc w:val="center"/>
              <w:rPr>
                <w:rFonts w:ascii="宋体" w:hAnsi="宋体" w:cs="宋体"/>
                <w:color w:val="000000" w:themeColor="text1"/>
                <w:szCs w:val="21"/>
              </w:rPr>
            </w:pPr>
            <w:r>
              <w:rPr>
                <w:rFonts w:hint="eastAsia" w:ascii="宋体" w:hAnsi="宋体" w:cs="宋体"/>
                <w:color w:val="000000" w:themeColor="text1"/>
                <w:szCs w:val="21"/>
              </w:rPr>
              <w:t>报价</w:t>
            </w:r>
          </w:p>
        </w:tc>
        <w:tc>
          <w:tcPr>
            <w:tcW w:w="6512" w:type="dxa"/>
            <w:vAlign w:val="center"/>
          </w:tcPr>
          <w:p>
            <w:pPr>
              <w:spacing w:beforeLines="30" w:afterLines="30" w:line="240" w:lineRule="exact"/>
              <w:jc w:val="both"/>
              <w:rPr>
                <w:rFonts w:ascii="宋体" w:hAnsi="宋体"/>
                <w:color w:val="000000" w:themeColor="text1"/>
                <w:szCs w:val="21"/>
              </w:rPr>
            </w:pPr>
            <w:r>
              <w:rPr>
                <w:rFonts w:hint="eastAsia" w:ascii="宋体" w:hAnsi="宋体"/>
                <w:color w:val="000000" w:themeColor="text1"/>
                <w:szCs w:val="21"/>
              </w:rPr>
              <w:t>报价符合</w:t>
            </w:r>
            <w:r>
              <w:rPr>
                <w:rFonts w:hint="eastAsia"/>
                <w:color w:val="000000" w:themeColor="text1"/>
                <w:szCs w:val="21"/>
              </w:rPr>
              <w:t>谈判文件要求</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7</w:t>
            </w:r>
          </w:p>
        </w:tc>
        <w:tc>
          <w:tcPr>
            <w:tcW w:w="1841" w:type="dxa"/>
            <w:vAlign w:val="center"/>
          </w:tcPr>
          <w:p>
            <w:pPr>
              <w:spacing w:beforeLines="30" w:afterLines="30" w:line="240" w:lineRule="exact"/>
              <w:jc w:val="center"/>
              <w:rPr>
                <w:rFonts w:ascii="宋体" w:hAnsi="宋体"/>
                <w:color w:val="000000" w:themeColor="text1"/>
                <w:szCs w:val="21"/>
              </w:rPr>
            </w:pPr>
            <w:r>
              <w:rPr>
                <w:rFonts w:hint="eastAsia" w:ascii="宋体" w:hAnsi="宋体"/>
                <w:color w:val="000000" w:themeColor="text1"/>
                <w:szCs w:val="21"/>
              </w:rPr>
              <w:t>供货期限</w:t>
            </w:r>
          </w:p>
        </w:tc>
        <w:tc>
          <w:tcPr>
            <w:tcW w:w="6512" w:type="dxa"/>
            <w:vAlign w:val="center"/>
          </w:tcPr>
          <w:p>
            <w:pPr>
              <w:spacing w:beforeLines="30" w:afterLines="30" w:line="240" w:lineRule="exact"/>
              <w:jc w:val="both"/>
              <w:rPr>
                <w:rFonts w:ascii="宋体" w:hAnsi="宋体"/>
                <w:color w:val="000000" w:themeColor="text1"/>
                <w:szCs w:val="21"/>
              </w:rPr>
            </w:pPr>
            <w:r>
              <w:rPr>
                <w:rFonts w:hint="eastAsia" w:ascii="宋体" w:hAnsi="宋体"/>
                <w:color w:val="000000" w:themeColor="text1"/>
                <w:szCs w:val="21"/>
              </w:rPr>
              <w:t>满足谈判文件要求</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8</w:t>
            </w:r>
          </w:p>
        </w:tc>
        <w:tc>
          <w:tcPr>
            <w:tcW w:w="1841" w:type="dxa"/>
            <w:vAlign w:val="center"/>
          </w:tcPr>
          <w:p>
            <w:pPr>
              <w:spacing w:beforeLines="30" w:afterLines="30" w:line="240" w:lineRule="exact"/>
              <w:jc w:val="center"/>
              <w:rPr>
                <w:rFonts w:ascii="宋体" w:hAnsi="宋体"/>
                <w:color w:val="000000" w:themeColor="text1"/>
                <w:szCs w:val="21"/>
              </w:rPr>
            </w:pPr>
            <w:r>
              <w:rPr>
                <w:rFonts w:hint="eastAsia" w:ascii="宋体" w:hAnsi="宋体"/>
                <w:color w:val="000000" w:themeColor="text1"/>
                <w:szCs w:val="21"/>
              </w:rPr>
              <w:t>质量承诺书</w:t>
            </w:r>
          </w:p>
        </w:tc>
        <w:tc>
          <w:tcPr>
            <w:tcW w:w="6512" w:type="dxa"/>
            <w:vAlign w:val="center"/>
          </w:tcPr>
          <w:p>
            <w:pPr>
              <w:spacing w:beforeLines="30" w:afterLines="30" w:line="240" w:lineRule="exact"/>
              <w:jc w:val="both"/>
              <w:rPr>
                <w:rFonts w:ascii="宋体" w:hAnsi="宋体"/>
                <w:color w:val="000000" w:themeColor="text1"/>
                <w:szCs w:val="21"/>
              </w:rPr>
            </w:pPr>
            <w:r>
              <w:rPr>
                <w:rFonts w:hint="eastAsia" w:ascii="宋体" w:hAnsi="宋体"/>
                <w:b/>
                <w:bCs/>
                <w:color w:val="000000" w:themeColor="text1"/>
                <w:szCs w:val="21"/>
                <w:highlight w:val="yellow"/>
              </w:rPr>
              <w:t>提供书面承诺函</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9</w:t>
            </w:r>
          </w:p>
        </w:tc>
        <w:tc>
          <w:tcPr>
            <w:tcW w:w="1841" w:type="dxa"/>
            <w:vAlign w:val="center"/>
          </w:tcPr>
          <w:p>
            <w:pPr>
              <w:spacing w:line="240" w:lineRule="exact"/>
              <w:jc w:val="center"/>
              <w:rPr>
                <w:color w:val="000000" w:themeColor="text1"/>
                <w:szCs w:val="21"/>
              </w:rPr>
            </w:pPr>
            <w:r>
              <w:rPr>
                <w:rFonts w:hint="eastAsia"/>
                <w:color w:val="000000" w:themeColor="text1"/>
                <w:szCs w:val="21"/>
              </w:rPr>
              <w:t>其它</w:t>
            </w:r>
          </w:p>
        </w:tc>
        <w:tc>
          <w:tcPr>
            <w:tcW w:w="6512" w:type="dxa"/>
            <w:vAlign w:val="center"/>
          </w:tcPr>
          <w:p>
            <w:pPr>
              <w:spacing w:line="240" w:lineRule="exact"/>
              <w:rPr>
                <w:color w:val="000000" w:themeColor="text1"/>
                <w:szCs w:val="21"/>
              </w:rPr>
            </w:pPr>
            <w:r>
              <w:rPr>
                <w:rFonts w:hint="eastAsia"/>
                <w:color w:val="000000" w:themeColor="text1"/>
                <w:szCs w:val="21"/>
              </w:rPr>
              <w:t>无其它谈判文件认定的无效条件</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07" w:type="dxa"/>
            <w:gridSpan w:val="2"/>
            <w:vAlign w:val="center"/>
          </w:tcPr>
          <w:p>
            <w:pPr>
              <w:spacing w:line="240" w:lineRule="exact"/>
              <w:jc w:val="center"/>
              <w:rPr>
                <w:color w:val="000000" w:themeColor="text1"/>
                <w:szCs w:val="21"/>
              </w:rPr>
            </w:pPr>
            <w:r>
              <w:rPr>
                <w:rFonts w:hint="eastAsia" w:ascii="宋体" w:hAnsi="宋体"/>
                <w:b/>
                <w:color w:val="000000" w:themeColor="text1"/>
                <w:szCs w:val="21"/>
              </w:rPr>
              <w:t>结  论</w:t>
            </w:r>
          </w:p>
        </w:tc>
        <w:tc>
          <w:tcPr>
            <w:tcW w:w="6512" w:type="dxa"/>
            <w:vAlign w:val="center"/>
          </w:tcPr>
          <w:p>
            <w:pPr>
              <w:spacing w:line="240" w:lineRule="exact"/>
              <w:rPr>
                <w:color w:val="000000" w:themeColor="text1"/>
                <w:szCs w:val="21"/>
              </w:rPr>
            </w:pPr>
          </w:p>
        </w:tc>
        <w:tc>
          <w:tcPr>
            <w:tcW w:w="902" w:type="dxa"/>
            <w:vAlign w:val="center"/>
          </w:tcPr>
          <w:p>
            <w:pPr>
              <w:spacing w:line="240" w:lineRule="exact"/>
              <w:jc w:val="center"/>
              <w:rPr>
                <w:rFonts w:ascii="宋体" w:hAnsi="宋体"/>
                <w:color w:val="000000" w:themeColor="text1"/>
                <w:szCs w:val="21"/>
              </w:rPr>
            </w:pPr>
          </w:p>
        </w:tc>
      </w:tr>
    </w:tbl>
    <w:p>
      <w:pPr>
        <w:rPr>
          <w:color w:val="000000" w:themeColor="text1"/>
          <w:szCs w:val="21"/>
        </w:rPr>
      </w:pPr>
      <w:bookmarkStart w:id="105" w:name="_Toc413606705"/>
      <w:r>
        <w:rPr>
          <w:rFonts w:hint="eastAsia"/>
          <w:b/>
          <w:color w:val="000000" w:themeColor="text1"/>
          <w:szCs w:val="21"/>
        </w:rPr>
        <w:t>注：</w:t>
      </w:r>
      <w:r>
        <w:rPr>
          <w:rFonts w:hint="eastAsia"/>
          <w:color w:val="000000" w:themeColor="text1"/>
          <w:szCs w:val="21"/>
        </w:rPr>
        <w:t>1、资格审查内容中的每一项均为必需条件，请各谈判供应商仔细对照，如有其中任何一项不满足，均会导致资格预审不合格，请认真对待</w:t>
      </w:r>
      <w:bookmarkEnd w:id="105"/>
      <w:r>
        <w:rPr>
          <w:rFonts w:hint="eastAsia"/>
          <w:color w:val="000000" w:themeColor="text1"/>
          <w:szCs w:val="21"/>
        </w:rPr>
        <w:t>。</w:t>
      </w:r>
    </w:p>
    <w:p>
      <w:pPr>
        <w:ind w:firstLine="420"/>
        <w:rPr>
          <w:color w:val="000000" w:themeColor="text1"/>
          <w:szCs w:val="21"/>
        </w:rPr>
      </w:pPr>
      <w:r>
        <w:rPr>
          <w:rFonts w:hint="eastAsia"/>
          <w:color w:val="000000" w:themeColor="text1"/>
          <w:szCs w:val="21"/>
        </w:rPr>
        <w:t>2、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pPr>
        <w:ind w:firstLine="420" w:firstLineChars="200"/>
        <w:rPr>
          <w:color w:val="000000" w:themeColor="text1"/>
          <w:szCs w:val="21"/>
        </w:rPr>
      </w:pPr>
      <w:r>
        <w:rPr>
          <w:rFonts w:hint="eastAsia"/>
          <w:color w:val="000000" w:themeColor="text1"/>
          <w:szCs w:val="21"/>
        </w:rPr>
        <w:t>3、在表中的各项只需填写“√/通过”或“×/不通过”。</w:t>
      </w:r>
    </w:p>
    <w:p>
      <w:pPr>
        <w:ind w:firstLine="420" w:firstLineChars="200"/>
        <w:rPr>
          <w:color w:val="000000" w:themeColor="text1"/>
          <w:szCs w:val="21"/>
        </w:rPr>
      </w:pPr>
      <w:r>
        <w:rPr>
          <w:rFonts w:hint="eastAsia"/>
          <w:color w:val="000000" w:themeColor="text1"/>
          <w:szCs w:val="21"/>
        </w:rPr>
        <w:t>4、在结论中按“一项否决”的原则，只有全部是√/通过的，填写“合格”；只要其中有一项是×/不通过的，填写“不合格”。</w:t>
      </w:r>
    </w:p>
    <w:p>
      <w:pPr>
        <w:tabs>
          <w:tab w:val="left" w:pos="1030"/>
        </w:tabs>
        <w:ind w:firstLine="420" w:firstLineChars="200"/>
        <w:rPr>
          <w:color w:val="000000" w:themeColor="text1"/>
          <w:szCs w:val="21"/>
        </w:rPr>
      </w:pPr>
      <w:r>
        <w:rPr>
          <w:rFonts w:hint="eastAsia"/>
          <w:color w:val="000000" w:themeColor="text1"/>
          <w:szCs w:val="21"/>
        </w:rPr>
        <w:t>5、结论是合格的，才能进入下一轮；不合格的被淘汰。</w:t>
      </w:r>
    </w:p>
    <w:p>
      <w:pPr>
        <w:rPr>
          <w:rFonts w:ascii="宋体" w:hAnsi="宋体"/>
          <w:b/>
          <w:color w:val="000000" w:themeColor="text1"/>
          <w:sz w:val="30"/>
          <w:szCs w:val="30"/>
        </w:rPr>
      </w:pPr>
      <w:bookmarkStart w:id="106" w:name="_Toc116920213"/>
      <w:r>
        <w:rPr>
          <w:rFonts w:hint="eastAsia" w:ascii="宋体" w:hAnsi="宋体"/>
          <w:b/>
          <w:color w:val="000000" w:themeColor="text1"/>
          <w:sz w:val="30"/>
          <w:szCs w:val="30"/>
        </w:rPr>
        <w:br w:type="page"/>
      </w:r>
    </w:p>
    <w:p>
      <w:pPr>
        <w:snapToGrid w:val="0"/>
        <w:ind w:firstLine="446" w:firstLineChars="148"/>
        <w:jc w:val="center"/>
        <w:outlineLvl w:val="1"/>
        <w:rPr>
          <w:rFonts w:ascii="宋体" w:hAnsi="宋体"/>
          <w:b/>
          <w:color w:val="000000" w:themeColor="text1"/>
          <w:sz w:val="30"/>
          <w:szCs w:val="30"/>
        </w:rPr>
      </w:pPr>
      <w:r>
        <w:rPr>
          <w:rFonts w:hint="eastAsia" w:ascii="宋体" w:hAnsi="宋体"/>
          <w:b/>
          <w:color w:val="000000" w:themeColor="text1"/>
          <w:sz w:val="30"/>
          <w:szCs w:val="30"/>
        </w:rPr>
        <w:t>竞争性谈判第二次报价单</w:t>
      </w:r>
      <w:bookmarkEnd w:id="106"/>
    </w:p>
    <w:p>
      <w:pPr>
        <w:rPr>
          <w:rFonts w:ascii="宋体" w:hAnsi="宋体"/>
          <w:b/>
          <w:color w:val="000000" w:themeColor="text1"/>
        </w:rPr>
      </w:pPr>
    </w:p>
    <w:p>
      <w:pPr>
        <w:pStyle w:val="288"/>
        <w:spacing w:before="156" w:after="156"/>
        <w:outlineLvl w:val="9"/>
        <w:rPr>
          <w:color w:val="000000" w:themeColor="text1"/>
        </w:rPr>
      </w:pPr>
      <w:bookmarkStart w:id="107" w:name="_Toc116920214"/>
      <w:r>
        <w:rPr>
          <w:rFonts w:hint="eastAsia"/>
          <w:color w:val="000000" w:themeColor="text1"/>
        </w:rPr>
        <w:t>报价一览表</w:t>
      </w:r>
      <w:bookmarkEnd w:id="107"/>
    </w:p>
    <w:p>
      <w:pPr>
        <w:spacing w:line="440" w:lineRule="exact"/>
        <w:rPr>
          <w:rFonts w:ascii="宋体" w:hAnsi="宋体"/>
          <w:color w:val="000000" w:themeColor="text1"/>
          <w:sz w:val="24"/>
          <w:szCs w:val="24"/>
        </w:rPr>
      </w:pPr>
      <w:r>
        <w:rPr>
          <w:rFonts w:hint="eastAsia" w:ascii="宋体" w:hAnsi="宋体"/>
          <w:color w:val="000000" w:themeColor="text1"/>
          <w:sz w:val="24"/>
          <w:szCs w:val="24"/>
        </w:rPr>
        <w:t>项目名称：智能网联汽车（智能载运技术）设备项目校内采购</w:t>
      </w:r>
    </w:p>
    <w:p>
      <w:pPr>
        <w:spacing w:line="440" w:lineRule="exact"/>
        <w:rPr>
          <w:rFonts w:ascii="宋体" w:hAnsi="宋体"/>
          <w:color w:val="000000" w:themeColor="text1"/>
          <w:sz w:val="24"/>
          <w:szCs w:val="24"/>
        </w:rPr>
      </w:pPr>
      <w:r>
        <w:rPr>
          <w:rFonts w:hint="eastAsia" w:ascii="宋体" w:hAnsi="宋体"/>
          <w:color w:val="000000" w:themeColor="text1"/>
          <w:sz w:val="24"/>
          <w:szCs w:val="24"/>
        </w:rPr>
        <w:t>标包编号：HNSJSHWFW-2024-25</w:t>
      </w:r>
    </w:p>
    <w:p>
      <w:pPr>
        <w:spacing w:line="400" w:lineRule="exact"/>
        <w:rPr>
          <w:color w:val="000000" w:themeColor="text1"/>
          <w:sz w:val="28"/>
          <w:szCs w:val="28"/>
        </w:rPr>
      </w:pPr>
    </w:p>
    <w:tbl>
      <w:tblPr>
        <w:tblStyle w:val="46"/>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38"/>
        <w:gridCol w:w="7"/>
        <w:gridCol w:w="62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jc w:val="center"/>
        </w:trPr>
        <w:tc>
          <w:tcPr>
            <w:tcW w:w="2645" w:type="dxa"/>
            <w:gridSpan w:val="2"/>
            <w:tcBorders>
              <w:right w:val="single" w:color="auto" w:sz="4" w:space="0"/>
            </w:tcBorders>
            <w:vAlign w:val="center"/>
          </w:tcPr>
          <w:p>
            <w:pPr>
              <w:widowControl w:val="0"/>
              <w:spacing w:beforeLines="100" w:afterLines="100"/>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lang w:val="en-GB"/>
              </w:rPr>
              <w:t>采购项目内容</w:t>
            </w:r>
          </w:p>
        </w:tc>
        <w:tc>
          <w:tcPr>
            <w:tcW w:w="6265" w:type="dxa"/>
            <w:tcBorders>
              <w:left w:val="single" w:color="auto" w:sz="4" w:space="0"/>
            </w:tcBorders>
            <w:vAlign w:val="center"/>
          </w:tcPr>
          <w:p>
            <w:pPr>
              <w:widowControl w:val="0"/>
              <w:spacing w:beforeLines="100" w:afterLines="100"/>
              <w:jc w:val="both"/>
              <w:rPr>
                <w:rFonts w:ascii="宋体" w:hAnsi="宋体" w:cs="宋体"/>
                <w:bCs/>
                <w:color w:val="000000" w:themeColor="text1"/>
                <w:sz w:val="24"/>
                <w:szCs w:val="24"/>
                <w:lang w:val="en-GB"/>
              </w:rPr>
            </w:pPr>
            <w:r>
              <w:rPr>
                <w:rFonts w:hint="eastAsia" w:ascii="宋体" w:hAnsi="宋体" w:cs="宋体"/>
                <w:bCs/>
                <w:color w:val="000000" w:themeColor="text1"/>
                <w:sz w:val="24"/>
                <w:szCs w:val="24"/>
                <w:lang w:val="en-GB"/>
              </w:rPr>
              <w:t>智能网联汽车（智能载运技术）设备项目校内采购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2638" w:type="dxa"/>
            <w:vAlign w:val="center"/>
          </w:tcPr>
          <w:p>
            <w:pPr>
              <w:widowControl w:val="0"/>
              <w:spacing w:beforeLines="100" w:afterLines="100" w:line="440" w:lineRule="exact"/>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lang w:val="en-GB"/>
              </w:rPr>
              <w:t>响应报价总计</w:t>
            </w:r>
          </w:p>
        </w:tc>
        <w:tc>
          <w:tcPr>
            <w:tcW w:w="6272" w:type="dxa"/>
            <w:gridSpan w:val="2"/>
          </w:tcPr>
          <w:p>
            <w:pPr>
              <w:widowControl w:val="0"/>
              <w:spacing w:beforeLines="100" w:afterLines="100" w:line="440" w:lineRule="exact"/>
              <w:jc w:val="both"/>
              <w:rPr>
                <w:rFonts w:ascii="宋体" w:hAnsi="宋体" w:cs="宋体"/>
                <w:color w:val="000000" w:themeColor="text1"/>
                <w:sz w:val="24"/>
                <w:szCs w:val="24"/>
                <w:u w:val="single"/>
                <w:lang w:val="en-GB"/>
              </w:rPr>
            </w:pPr>
            <w:r>
              <w:rPr>
                <w:rFonts w:hint="eastAsia" w:ascii="宋体" w:hAnsi="宋体" w:cs="宋体"/>
                <w:color w:val="000000" w:themeColor="text1"/>
                <w:sz w:val="24"/>
                <w:szCs w:val="24"/>
                <w:lang w:val="en-GB"/>
              </w:rPr>
              <w:t>（小写）：</w:t>
            </w:r>
            <w:r>
              <w:rPr>
                <w:rFonts w:hint="eastAsia" w:ascii="宋体" w:hAnsi="宋体" w:cs="宋体"/>
                <w:color w:val="000000" w:themeColor="text1"/>
                <w:sz w:val="24"/>
                <w:szCs w:val="24"/>
              </w:rPr>
              <w:t>￥</w:t>
            </w:r>
          </w:p>
          <w:p>
            <w:pPr>
              <w:widowControl w:val="0"/>
              <w:spacing w:beforeLines="100" w:afterLines="100" w:line="440" w:lineRule="exact"/>
              <w:jc w:val="both"/>
              <w:rPr>
                <w:rFonts w:ascii="宋体" w:hAnsi="宋体" w:cs="宋体"/>
                <w:color w:val="000000" w:themeColor="text1"/>
                <w:sz w:val="24"/>
                <w:szCs w:val="24"/>
                <w:lang w:val="en-GB"/>
              </w:rPr>
            </w:pPr>
            <w:r>
              <w:rPr>
                <w:rFonts w:hint="eastAsia" w:ascii="宋体" w:hAnsi="宋体" w:cs="宋体"/>
                <w:color w:val="000000" w:themeColor="text1"/>
                <w:sz w:val="24"/>
                <w:szCs w:val="24"/>
                <w:lang w:val="en-GB"/>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pPr>
              <w:widowControl w:val="0"/>
              <w:spacing w:beforeLines="50" w:afterLines="50" w:line="440" w:lineRule="exact"/>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rPr>
              <w:t>供货</w:t>
            </w:r>
            <w:r>
              <w:rPr>
                <w:rFonts w:hint="eastAsia" w:ascii="宋体" w:hAnsi="宋体" w:cs="宋体"/>
                <w:b/>
                <w:bCs/>
                <w:color w:val="000000" w:themeColor="text1"/>
                <w:sz w:val="24"/>
                <w:szCs w:val="24"/>
                <w:lang w:val="en-GB"/>
              </w:rPr>
              <w:t>期限</w:t>
            </w:r>
          </w:p>
        </w:tc>
        <w:tc>
          <w:tcPr>
            <w:tcW w:w="6272" w:type="dxa"/>
            <w:gridSpan w:val="2"/>
            <w:vAlign w:val="center"/>
          </w:tcPr>
          <w:p>
            <w:pPr>
              <w:widowControl w:val="0"/>
              <w:spacing w:beforeLines="50" w:afterLines="50" w:line="440" w:lineRule="exact"/>
              <w:ind w:firstLine="960" w:firstLineChars="400"/>
              <w:jc w:val="both"/>
              <w:rPr>
                <w:rFonts w:ascii="宋体" w:hAnsi="宋体" w:cs="宋体"/>
                <w:color w:val="000000" w:themeColor="text1"/>
                <w:sz w:val="24"/>
                <w:szCs w:val="24"/>
                <w:lang w:val="en-GB"/>
              </w:rPr>
            </w:pPr>
            <w:r>
              <w:rPr>
                <w:rFonts w:hint="eastAsia" w:ascii="宋体" w:hAnsi="宋体" w:cs="宋体"/>
                <w:color w:val="000000" w:themeColor="text1"/>
                <w:sz w:val="24"/>
                <w:szCs w:val="24"/>
                <w:lang w:val="en-GB"/>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pPr>
              <w:widowControl w:val="0"/>
              <w:spacing w:beforeLines="50" w:afterLines="50" w:line="440" w:lineRule="exact"/>
              <w:jc w:val="center"/>
              <w:rPr>
                <w:rFonts w:ascii="宋体" w:hAnsi="宋体" w:cs="宋体"/>
                <w:b/>
                <w:bCs/>
                <w:color w:val="000000" w:themeColor="text1"/>
                <w:sz w:val="24"/>
                <w:szCs w:val="24"/>
              </w:rPr>
            </w:pPr>
            <w:r>
              <w:rPr>
                <w:rFonts w:hint="eastAsia" w:ascii="宋体" w:hAnsi="宋体" w:cs="宋体"/>
                <w:b/>
                <w:bCs/>
                <w:color w:val="000000" w:themeColor="text1"/>
                <w:sz w:val="24"/>
                <w:szCs w:val="24"/>
              </w:rPr>
              <w:t>质量承诺</w:t>
            </w:r>
          </w:p>
        </w:tc>
        <w:tc>
          <w:tcPr>
            <w:tcW w:w="6272" w:type="dxa"/>
            <w:gridSpan w:val="2"/>
            <w:vAlign w:val="center"/>
          </w:tcPr>
          <w:p>
            <w:pPr>
              <w:widowControl w:val="0"/>
              <w:spacing w:beforeLines="50" w:afterLines="50" w:line="440" w:lineRule="exact"/>
              <w:jc w:val="both"/>
              <w:rPr>
                <w:rFonts w:ascii="宋体" w:hAnsi="宋体" w:cs="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2638" w:type="dxa"/>
            <w:vAlign w:val="center"/>
          </w:tcPr>
          <w:p>
            <w:pPr>
              <w:widowControl w:val="0"/>
              <w:spacing w:line="440" w:lineRule="exact"/>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lang w:val="en-GB"/>
              </w:rPr>
              <w:t>备注</w:t>
            </w:r>
          </w:p>
        </w:tc>
        <w:tc>
          <w:tcPr>
            <w:tcW w:w="6272" w:type="dxa"/>
            <w:gridSpan w:val="2"/>
          </w:tcPr>
          <w:p>
            <w:pPr>
              <w:widowControl w:val="0"/>
              <w:spacing w:beforeLines="50" w:afterLines="50" w:line="440" w:lineRule="exact"/>
              <w:jc w:val="both"/>
              <w:rPr>
                <w:rFonts w:ascii="宋体" w:hAnsi="宋体" w:cs="宋体"/>
                <w:color w:val="000000" w:themeColor="text1"/>
                <w:sz w:val="24"/>
                <w:szCs w:val="24"/>
                <w:lang w:val="en-GB"/>
              </w:rPr>
            </w:pPr>
          </w:p>
        </w:tc>
      </w:tr>
    </w:tbl>
    <w:p>
      <w:pPr>
        <w:widowControl w:val="0"/>
        <w:spacing w:beforeLines="150" w:line="440" w:lineRule="exact"/>
        <w:jc w:val="both"/>
        <w:rPr>
          <w:rFonts w:ascii="宋体" w:hAnsi="宋体" w:cs="宋体"/>
          <w:color w:val="000000" w:themeColor="text1"/>
          <w:sz w:val="24"/>
          <w:szCs w:val="24"/>
          <w:u w:val="single"/>
          <w:lang w:val="en-GB"/>
        </w:rPr>
      </w:pPr>
      <w:r>
        <w:rPr>
          <w:rFonts w:hint="eastAsia" w:ascii="宋体" w:hAnsi="宋体" w:cs="宋体"/>
          <w:color w:val="000000" w:themeColor="text1"/>
          <w:sz w:val="24"/>
          <w:szCs w:val="24"/>
          <w:lang w:val="en-GB"/>
        </w:rPr>
        <w:t>供应商名称：（公章）</w:t>
      </w:r>
    </w:p>
    <w:p>
      <w:pPr>
        <w:widowControl w:val="0"/>
        <w:spacing w:beforeLines="150" w:line="440" w:lineRule="exact"/>
        <w:jc w:val="both"/>
        <w:rPr>
          <w:rFonts w:ascii="宋体" w:hAnsi="宋体" w:cs="宋体"/>
          <w:bCs/>
          <w:color w:val="000000" w:themeColor="text1"/>
          <w:kern w:val="2"/>
          <w:sz w:val="24"/>
          <w:szCs w:val="24"/>
          <w:lang w:val="en-GB"/>
        </w:rPr>
      </w:pPr>
      <w:r>
        <w:rPr>
          <w:rFonts w:hint="eastAsia" w:ascii="宋体" w:hAnsi="宋体" w:cs="宋体"/>
          <w:color w:val="000000" w:themeColor="text1"/>
          <w:sz w:val="24"/>
          <w:szCs w:val="24"/>
          <w:lang w:val="en-GB"/>
        </w:rPr>
        <w:t>法定代表人或授权代表：</w:t>
      </w:r>
      <w:r>
        <w:rPr>
          <w:rFonts w:hint="eastAsia" w:ascii="宋体" w:hAnsi="宋体" w:cs="宋体"/>
          <w:bCs/>
          <w:color w:val="000000" w:themeColor="text1"/>
          <w:kern w:val="2"/>
          <w:sz w:val="24"/>
          <w:szCs w:val="24"/>
          <w:lang w:val="en-GB"/>
        </w:rPr>
        <w:t>（签字）</w:t>
      </w:r>
    </w:p>
    <w:p>
      <w:pPr>
        <w:widowControl w:val="0"/>
        <w:spacing w:beforeLines="150" w:line="440" w:lineRule="exact"/>
        <w:jc w:val="both"/>
        <w:rPr>
          <w:rFonts w:ascii="宋体" w:hAnsi="宋体" w:cs="宋体"/>
          <w:bCs/>
          <w:color w:val="000000" w:themeColor="text1"/>
          <w:kern w:val="2"/>
          <w:sz w:val="24"/>
          <w:szCs w:val="24"/>
          <w:lang w:val="en-GB"/>
        </w:rPr>
      </w:pPr>
    </w:p>
    <w:p>
      <w:pPr>
        <w:widowControl w:val="0"/>
        <w:spacing w:beforeLines="150" w:line="440" w:lineRule="exact"/>
        <w:ind w:firstLine="480"/>
        <w:jc w:val="both"/>
        <w:rPr>
          <w:rFonts w:ascii="宋体"/>
          <w:b/>
          <w:bCs/>
          <w:color w:val="000000"/>
          <w:sz w:val="36"/>
          <w:szCs w:val="36"/>
        </w:rPr>
      </w:pPr>
      <w:r>
        <w:rPr>
          <w:rFonts w:hint="eastAsia" w:ascii="宋体" w:hAnsi="宋体" w:cs="宋体"/>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p>
    <w:sectPr>
      <w:footerReference r:id="rId4" w:type="default"/>
      <w:pgSz w:w="11906" w:h="16838"/>
      <w:pgMar w:top="1440" w:right="1133" w:bottom="1440" w:left="1134" w:header="851" w:footer="992" w:gutter="0"/>
      <w:pgNumType w:start="1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康简标题宋">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PMingLiU">
    <w:altName w:val="PMingLiU-ExtB"/>
    <w:panose1 w:val="02020500000000000000"/>
    <w:charset w:val="88"/>
    <w:family w:val="roma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MERGEFORMAT </w:instrText>
    </w:r>
    <w:r>
      <w:fldChar w:fldCharType="separate"/>
    </w:r>
    <w:r>
      <w:rPr>
        <w:lang w:val="zh-CN"/>
      </w:rPr>
      <w:t>13</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861806"/>
    </w:sdtPr>
    <w:sdtContent>
      <w:p>
        <w:pPr>
          <w:jc w:val="center"/>
        </w:pPr>
        <w:r>
          <w:fldChar w:fldCharType="begin"/>
        </w:r>
        <w:r>
          <w:instrText xml:space="preserve"> PAGE   \* MERGEFORMAT </w:instrText>
        </w:r>
        <w:r>
          <w:fldChar w:fldCharType="separate"/>
        </w:r>
        <w:r>
          <w:rPr>
            <w:lang w:val="zh-CN"/>
          </w:rPr>
          <w:t>28</w:t>
        </w:r>
        <w:r>
          <w:rPr>
            <w:lang w:val="zh-CN"/>
          </w:rPr>
          <w:fldChar w:fldCharType="end"/>
        </w:r>
      </w:p>
    </w:sdtContent>
  </w:sdt>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8BD51A"/>
    <w:multiLevelType w:val="multilevel"/>
    <w:tmpl w:val="A48BD51A"/>
    <w:lvl w:ilvl="0" w:tentative="0">
      <w:start w:val="1"/>
      <w:numFmt w:val="decimal"/>
      <w:suff w:val="space"/>
      <w:lvlText w:val="%1)"/>
      <w:lvlJc w:val="left"/>
      <w:pPr>
        <w:ind w:left="6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BADFA98"/>
    <w:multiLevelType w:val="singleLevel"/>
    <w:tmpl w:val="FBADFA98"/>
    <w:lvl w:ilvl="0" w:tentative="0">
      <w:start w:val="4"/>
      <w:numFmt w:val="chineseCounting"/>
      <w:suff w:val="nothing"/>
      <w:lvlText w:val="%1、"/>
      <w:lvlJc w:val="left"/>
      <w:rPr>
        <w:rFonts w:hint="eastAsia"/>
      </w:rPr>
    </w:lvl>
  </w:abstractNum>
  <w:abstractNum w:abstractNumId="2">
    <w:nsid w:val="1013EC79"/>
    <w:multiLevelType w:val="singleLevel"/>
    <w:tmpl w:val="1013EC79"/>
    <w:lvl w:ilvl="0" w:tentative="0">
      <w:start w:val="2"/>
      <w:numFmt w:val="decimal"/>
      <w:suff w:val="space"/>
      <w:lvlText w:val="%1."/>
      <w:lvlJc w:val="left"/>
    </w:lvl>
  </w:abstractNum>
  <w:abstractNum w:abstractNumId="3">
    <w:nsid w:val="13B827E2"/>
    <w:multiLevelType w:val="multilevel"/>
    <w:tmpl w:val="13B827E2"/>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71F3CEA"/>
    <w:multiLevelType w:val="multilevel"/>
    <w:tmpl w:val="171F3CEA"/>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175E1919"/>
    <w:multiLevelType w:val="multilevel"/>
    <w:tmpl w:val="175E191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85E0DD0"/>
    <w:multiLevelType w:val="multilevel"/>
    <w:tmpl w:val="185E0DD0"/>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CC14D96"/>
    <w:multiLevelType w:val="multilevel"/>
    <w:tmpl w:val="1CC14D96"/>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15A383B"/>
    <w:multiLevelType w:val="multilevel"/>
    <w:tmpl w:val="215A383B"/>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31D30E08"/>
    <w:multiLevelType w:val="multilevel"/>
    <w:tmpl w:val="31D30E08"/>
    <w:lvl w:ilvl="0" w:tentative="0">
      <w:start w:val="1"/>
      <w:numFmt w:val="decimal"/>
      <w:suff w:val="space"/>
      <w:lvlText w:val="%1)"/>
      <w:lvlJc w:val="left"/>
      <w:pPr>
        <w:ind w:left="6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51D4C85"/>
    <w:multiLevelType w:val="multilevel"/>
    <w:tmpl w:val="351D4C85"/>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37002CC6"/>
    <w:multiLevelType w:val="multilevel"/>
    <w:tmpl w:val="37002CC6"/>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3A6C0B81"/>
    <w:multiLevelType w:val="multilevel"/>
    <w:tmpl w:val="3A6C0B81"/>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40390EA2"/>
    <w:multiLevelType w:val="multilevel"/>
    <w:tmpl w:val="40390EA2"/>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76835C4"/>
    <w:multiLevelType w:val="multilevel"/>
    <w:tmpl w:val="476835C4"/>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A9A446B"/>
    <w:multiLevelType w:val="multilevel"/>
    <w:tmpl w:val="4A9A446B"/>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24144BF"/>
    <w:multiLevelType w:val="multilevel"/>
    <w:tmpl w:val="524144BF"/>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682733D"/>
    <w:multiLevelType w:val="multilevel"/>
    <w:tmpl w:val="5682733D"/>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1.%2."/>
      <w:lvlJc w:val="left"/>
      <w:pPr>
        <w:ind w:left="567" w:hanging="567"/>
      </w:pPr>
      <w:rPr>
        <w:rFonts w:hint="default" w:ascii="Times New Roman" w:hAnsi="Times New Roman" w:cs="Times New Roman"/>
      </w:rPr>
    </w:lvl>
    <w:lvl w:ilvl="2" w:tentative="0">
      <w:start w:val="1"/>
      <w:numFmt w:val="decimal"/>
      <w:lvlText w:val="%1.%2.%3."/>
      <w:lvlJc w:val="left"/>
      <w:pPr>
        <w:ind w:left="709" w:hanging="709"/>
      </w:pPr>
      <w:rPr>
        <w:rFonts w:hint="default" w:ascii="Times New Roman" w:hAnsi="Times New Roman" w:cs="Times New Roman"/>
      </w:rPr>
    </w:lvl>
    <w:lvl w:ilvl="3" w:tentative="0">
      <w:start w:val="1"/>
      <w:numFmt w:val="decimal"/>
      <w:lvlText w:val="%1.%2.%3.%4."/>
      <w:lvlJc w:val="left"/>
      <w:pPr>
        <w:ind w:left="850" w:hanging="850"/>
      </w:pPr>
      <w:rPr>
        <w:rFonts w:hint="default" w:ascii="Times New Roman" w:hAnsi="Times New Roman" w:cs="Times New Roman"/>
      </w:rPr>
    </w:lvl>
    <w:lvl w:ilvl="4" w:tentative="0">
      <w:start w:val="1"/>
      <w:numFmt w:val="decimal"/>
      <w:lvlText w:val="%1.%2.%3.%4.%5."/>
      <w:lvlJc w:val="left"/>
      <w:pPr>
        <w:ind w:left="991" w:hanging="991"/>
      </w:pPr>
      <w:rPr>
        <w:rFonts w:hint="default" w:ascii="Times New Roman" w:hAnsi="Times New Roman" w:cs="Times New Roman"/>
      </w:rPr>
    </w:lvl>
    <w:lvl w:ilvl="5" w:tentative="0">
      <w:start w:val="1"/>
      <w:numFmt w:val="decimal"/>
      <w:lvlText w:val="%1.%2.%3.%4.%5.%6."/>
      <w:lvlJc w:val="left"/>
      <w:pPr>
        <w:ind w:left="1134" w:hanging="1134"/>
      </w:pPr>
      <w:rPr>
        <w:rFonts w:hint="default" w:ascii="Times New Roman" w:hAnsi="Times New Roman" w:cs="Times New Roman"/>
      </w:rPr>
    </w:lvl>
    <w:lvl w:ilvl="6" w:tentative="0">
      <w:start w:val="1"/>
      <w:numFmt w:val="decimal"/>
      <w:lvlText w:val="%1.%2.%3.%4.%5.%6.%7."/>
      <w:lvlJc w:val="left"/>
      <w:pPr>
        <w:ind w:left="1275" w:hanging="1275"/>
      </w:pPr>
      <w:rPr>
        <w:rFonts w:hint="default" w:ascii="Times New Roman" w:hAnsi="Times New Roman" w:cs="Times New Roman"/>
      </w:rPr>
    </w:lvl>
    <w:lvl w:ilvl="7" w:tentative="0">
      <w:start w:val="1"/>
      <w:numFmt w:val="decimal"/>
      <w:lvlText w:val="%1.%2.%3.%4.%5.%6.%7.%8."/>
      <w:lvlJc w:val="left"/>
      <w:pPr>
        <w:ind w:left="1418" w:hanging="1418"/>
      </w:pPr>
      <w:rPr>
        <w:rFonts w:hint="default" w:ascii="Times New Roman" w:hAnsi="Times New Roman" w:cs="Times New Roman"/>
      </w:rPr>
    </w:lvl>
    <w:lvl w:ilvl="8" w:tentative="0">
      <w:start w:val="1"/>
      <w:numFmt w:val="decimal"/>
      <w:lvlText w:val="%1.%2.%3.%4.%5.%6.%7.%8.%9."/>
      <w:lvlJc w:val="left"/>
      <w:pPr>
        <w:ind w:left="1558" w:hanging="1558"/>
      </w:pPr>
      <w:rPr>
        <w:rFonts w:hint="default" w:ascii="Times New Roman" w:hAnsi="Times New Roman" w:cs="Times New Roman"/>
      </w:rPr>
    </w:lvl>
  </w:abstractNum>
  <w:abstractNum w:abstractNumId="18">
    <w:nsid w:val="58DC3476"/>
    <w:multiLevelType w:val="multilevel"/>
    <w:tmpl w:val="58DC3476"/>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5FC4B6C"/>
    <w:multiLevelType w:val="multilevel"/>
    <w:tmpl w:val="65FC4B6C"/>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68F71190"/>
    <w:multiLevelType w:val="multilevel"/>
    <w:tmpl w:val="68F71190"/>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C216CE7"/>
    <w:multiLevelType w:val="multilevel"/>
    <w:tmpl w:val="6C216CE7"/>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2CF4CF2"/>
    <w:multiLevelType w:val="multilevel"/>
    <w:tmpl w:val="72CF4CF2"/>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76C70462"/>
    <w:multiLevelType w:val="multilevel"/>
    <w:tmpl w:val="76C7046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730C803"/>
    <w:multiLevelType w:val="singleLevel"/>
    <w:tmpl w:val="7730C803"/>
    <w:lvl w:ilvl="0" w:tentative="0">
      <w:start w:val="5"/>
      <w:numFmt w:val="decimal"/>
      <w:suff w:val="nothing"/>
      <w:lvlText w:val="（%1）"/>
      <w:lvlJc w:val="left"/>
      <w:pPr>
        <w:ind w:left="-60"/>
      </w:pPr>
    </w:lvl>
  </w:abstractNum>
  <w:abstractNum w:abstractNumId="25">
    <w:nsid w:val="787A28EF"/>
    <w:multiLevelType w:val="multilevel"/>
    <w:tmpl w:val="787A28EF"/>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799E0274"/>
    <w:multiLevelType w:val="multilevel"/>
    <w:tmpl w:val="799E0274"/>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C4C39FA"/>
    <w:multiLevelType w:val="multilevel"/>
    <w:tmpl w:val="7C4C39FA"/>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
  </w:num>
  <w:num w:numId="2">
    <w:abstractNumId w:val="17"/>
  </w:num>
  <w:num w:numId="3">
    <w:abstractNumId w:val="20"/>
  </w:num>
  <w:num w:numId="4">
    <w:abstractNumId w:val="27"/>
  </w:num>
  <w:num w:numId="5">
    <w:abstractNumId w:val="22"/>
  </w:num>
  <w:num w:numId="6">
    <w:abstractNumId w:val="4"/>
  </w:num>
  <w:num w:numId="7">
    <w:abstractNumId w:val="10"/>
  </w:num>
  <w:num w:numId="8">
    <w:abstractNumId w:val="8"/>
  </w:num>
  <w:num w:numId="9">
    <w:abstractNumId w:val="21"/>
  </w:num>
  <w:num w:numId="10">
    <w:abstractNumId w:val="3"/>
  </w:num>
  <w:num w:numId="11">
    <w:abstractNumId w:val="11"/>
  </w:num>
  <w:num w:numId="12">
    <w:abstractNumId w:val="6"/>
  </w:num>
  <w:num w:numId="13">
    <w:abstractNumId w:val="26"/>
  </w:num>
  <w:num w:numId="14">
    <w:abstractNumId w:val="15"/>
  </w:num>
  <w:num w:numId="15">
    <w:abstractNumId w:val="7"/>
  </w:num>
  <w:num w:numId="16">
    <w:abstractNumId w:val="16"/>
  </w:num>
  <w:num w:numId="17">
    <w:abstractNumId w:val="14"/>
  </w:num>
  <w:num w:numId="18">
    <w:abstractNumId w:val="18"/>
  </w:num>
  <w:num w:numId="19">
    <w:abstractNumId w:val="0"/>
  </w:num>
  <w:num w:numId="20">
    <w:abstractNumId w:val="9"/>
  </w:num>
  <w:num w:numId="21">
    <w:abstractNumId w:val="13"/>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3"/>
  </w:num>
  <w:num w:numId="27">
    <w:abstractNumId w:val="2"/>
  </w:num>
  <w:num w:numId="28">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WUwOWY1OThjOTBmY2I1M2U5OGEyOWE4OWU3MTI0MDIifQ=="/>
  </w:docVars>
  <w:rsids>
    <w:rsidRoot w:val="005E20C4"/>
    <w:rsid w:val="00005B77"/>
    <w:rsid w:val="000204D2"/>
    <w:rsid w:val="000327A8"/>
    <w:rsid w:val="00040B50"/>
    <w:rsid w:val="00050B41"/>
    <w:rsid w:val="0005385C"/>
    <w:rsid w:val="00057F25"/>
    <w:rsid w:val="00065181"/>
    <w:rsid w:val="00066C5E"/>
    <w:rsid w:val="000706B1"/>
    <w:rsid w:val="000805DF"/>
    <w:rsid w:val="00080A3C"/>
    <w:rsid w:val="000855C6"/>
    <w:rsid w:val="00090615"/>
    <w:rsid w:val="00091254"/>
    <w:rsid w:val="00094ABC"/>
    <w:rsid w:val="00095CEE"/>
    <w:rsid w:val="00096D2F"/>
    <w:rsid w:val="000A312B"/>
    <w:rsid w:val="000A7670"/>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784"/>
    <w:rsid w:val="00144126"/>
    <w:rsid w:val="0014690D"/>
    <w:rsid w:val="00146F24"/>
    <w:rsid w:val="00151FC3"/>
    <w:rsid w:val="00154D09"/>
    <w:rsid w:val="0015760F"/>
    <w:rsid w:val="00157E1F"/>
    <w:rsid w:val="00173A1C"/>
    <w:rsid w:val="0018349A"/>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20049E"/>
    <w:rsid w:val="00205622"/>
    <w:rsid w:val="0021118E"/>
    <w:rsid w:val="00212B25"/>
    <w:rsid w:val="00215C1A"/>
    <w:rsid w:val="0023716C"/>
    <w:rsid w:val="0024012D"/>
    <w:rsid w:val="00246099"/>
    <w:rsid w:val="00247C67"/>
    <w:rsid w:val="002550A8"/>
    <w:rsid w:val="00257002"/>
    <w:rsid w:val="00270A88"/>
    <w:rsid w:val="00270CAE"/>
    <w:rsid w:val="002736B0"/>
    <w:rsid w:val="00275E97"/>
    <w:rsid w:val="00284377"/>
    <w:rsid w:val="00287732"/>
    <w:rsid w:val="002923A9"/>
    <w:rsid w:val="00292DCA"/>
    <w:rsid w:val="002962ED"/>
    <w:rsid w:val="002A3EA3"/>
    <w:rsid w:val="002A4D53"/>
    <w:rsid w:val="002A4EBA"/>
    <w:rsid w:val="002A7AD6"/>
    <w:rsid w:val="002B072C"/>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14C7"/>
    <w:rsid w:val="00336F81"/>
    <w:rsid w:val="00337AB9"/>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6024"/>
    <w:rsid w:val="003F612B"/>
    <w:rsid w:val="00401489"/>
    <w:rsid w:val="00403C8C"/>
    <w:rsid w:val="00403CD6"/>
    <w:rsid w:val="004162EE"/>
    <w:rsid w:val="004219E5"/>
    <w:rsid w:val="0042756C"/>
    <w:rsid w:val="00451E19"/>
    <w:rsid w:val="0045774D"/>
    <w:rsid w:val="00472447"/>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22521"/>
    <w:rsid w:val="00623DC8"/>
    <w:rsid w:val="0062462A"/>
    <w:rsid w:val="006272F0"/>
    <w:rsid w:val="006301E0"/>
    <w:rsid w:val="006339ED"/>
    <w:rsid w:val="00635027"/>
    <w:rsid w:val="006363E8"/>
    <w:rsid w:val="00645540"/>
    <w:rsid w:val="00646321"/>
    <w:rsid w:val="00652B77"/>
    <w:rsid w:val="00665532"/>
    <w:rsid w:val="00670482"/>
    <w:rsid w:val="00670883"/>
    <w:rsid w:val="00671D7D"/>
    <w:rsid w:val="006754FF"/>
    <w:rsid w:val="006763EC"/>
    <w:rsid w:val="00681631"/>
    <w:rsid w:val="006871BA"/>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7001C4"/>
    <w:rsid w:val="007017FE"/>
    <w:rsid w:val="00707BE2"/>
    <w:rsid w:val="0071751E"/>
    <w:rsid w:val="00727100"/>
    <w:rsid w:val="00727322"/>
    <w:rsid w:val="00730DC5"/>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831"/>
    <w:rsid w:val="007B0AD0"/>
    <w:rsid w:val="007B1303"/>
    <w:rsid w:val="007B2F42"/>
    <w:rsid w:val="007B4DBF"/>
    <w:rsid w:val="007B7ED0"/>
    <w:rsid w:val="007C19B0"/>
    <w:rsid w:val="007C2828"/>
    <w:rsid w:val="007C450A"/>
    <w:rsid w:val="007D6F52"/>
    <w:rsid w:val="007E2426"/>
    <w:rsid w:val="007E2B6C"/>
    <w:rsid w:val="007E723F"/>
    <w:rsid w:val="007F2B52"/>
    <w:rsid w:val="007F3A01"/>
    <w:rsid w:val="008000DA"/>
    <w:rsid w:val="00810A09"/>
    <w:rsid w:val="00813319"/>
    <w:rsid w:val="00814F77"/>
    <w:rsid w:val="0082563A"/>
    <w:rsid w:val="00827E7C"/>
    <w:rsid w:val="00833D66"/>
    <w:rsid w:val="0083636C"/>
    <w:rsid w:val="00841E5B"/>
    <w:rsid w:val="0084701A"/>
    <w:rsid w:val="00854748"/>
    <w:rsid w:val="0086033B"/>
    <w:rsid w:val="008635FA"/>
    <w:rsid w:val="00864179"/>
    <w:rsid w:val="00867B7A"/>
    <w:rsid w:val="00876573"/>
    <w:rsid w:val="00877127"/>
    <w:rsid w:val="00881685"/>
    <w:rsid w:val="00882695"/>
    <w:rsid w:val="00890074"/>
    <w:rsid w:val="00895EA4"/>
    <w:rsid w:val="00895F53"/>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E56"/>
    <w:rsid w:val="00A91F13"/>
    <w:rsid w:val="00A974EC"/>
    <w:rsid w:val="00AA0256"/>
    <w:rsid w:val="00AA1790"/>
    <w:rsid w:val="00AB5CB5"/>
    <w:rsid w:val="00AC4FFA"/>
    <w:rsid w:val="00AC5F16"/>
    <w:rsid w:val="00AC7E7F"/>
    <w:rsid w:val="00AD1B07"/>
    <w:rsid w:val="00AD2BF4"/>
    <w:rsid w:val="00AD3EA4"/>
    <w:rsid w:val="00AE0A25"/>
    <w:rsid w:val="00AE0AA3"/>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5B84"/>
    <w:rsid w:val="00C15BDE"/>
    <w:rsid w:val="00C23A36"/>
    <w:rsid w:val="00C279A0"/>
    <w:rsid w:val="00C32895"/>
    <w:rsid w:val="00C377FB"/>
    <w:rsid w:val="00C41C6D"/>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F1716"/>
    <w:rsid w:val="00D008EB"/>
    <w:rsid w:val="00D01915"/>
    <w:rsid w:val="00D12041"/>
    <w:rsid w:val="00D1408E"/>
    <w:rsid w:val="00D220AA"/>
    <w:rsid w:val="00D2398F"/>
    <w:rsid w:val="00D24D59"/>
    <w:rsid w:val="00D27B8C"/>
    <w:rsid w:val="00D3364A"/>
    <w:rsid w:val="00D3565A"/>
    <w:rsid w:val="00D44BC6"/>
    <w:rsid w:val="00D475C3"/>
    <w:rsid w:val="00D4794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7959"/>
    <w:rsid w:val="00DF0E92"/>
    <w:rsid w:val="00DF6976"/>
    <w:rsid w:val="00E04E54"/>
    <w:rsid w:val="00E05B47"/>
    <w:rsid w:val="00E06238"/>
    <w:rsid w:val="00E101AA"/>
    <w:rsid w:val="00E17B54"/>
    <w:rsid w:val="00E22770"/>
    <w:rsid w:val="00E279AE"/>
    <w:rsid w:val="00E32577"/>
    <w:rsid w:val="00E33293"/>
    <w:rsid w:val="00E33B24"/>
    <w:rsid w:val="00E37D66"/>
    <w:rsid w:val="00E42647"/>
    <w:rsid w:val="00E44518"/>
    <w:rsid w:val="00E46132"/>
    <w:rsid w:val="00E4737C"/>
    <w:rsid w:val="00E50A04"/>
    <w:rsid w:val="00E522F6"/>
    <w:rsid w:val="00E552FB"/>
    <w:rsid w:val="00E55C30"/>
    <w:rsid w:val="00E63A93"/>
    <w:rsid w:val="00E643C3"/>
    <w:rsid w:val="00E74768"/>
    <w:rsid w:val="00E750D6"/>
    <w:rsid w:val="00E77225"/>
    <w:rsid w:val="00E77C08"/>
    <w:rsid w:val="00E85B86"/>
    <w:rsid w:val="00E87067"/>
    <w:rsid w:val="00E9787E"/>
    <w:rsid w:val="00EA1293"/>
    <w:rsid w:val="00EA2C5C"/>
    <w:rsid w:val="00EB4F3A"/>
    <w:rsid w:val="00EB7C98"/>
    <w:rsid w:val="00ED45EF"/>
    <w:rsid w:val="00EE0DD5"/>
    <w:rsid w:val="00EE295E"/>
    <w:rsid w:val="00EE465A"/>
    <w:rsid w:val="00EE4E94"/>
    <w:rsid w:val="00EF4300"/>
    <w:rsid w:val="00F01C57"/>
    <w:rsid w:val="00F0456A"/>
    <w:rsid w:val="00F13B6D"/>
    <w:rsid w:val="00F22A9B"/>
    <w:rsid w:val="00F23360"/>
    <w:rsid w:val="00F465A2"/>
    <w:rsid w:val="00F471C2"/>
    <w:rsid w:val="00F62C9E"/>
    <w:rsid w:val="00F710AD"/>
    <w:rsid w:val="00F762B9"/>
    <w:rsid w:val="00F8074A"/>
    <w:rsid w:val="00F82208"/>
    <w:rsid w:val="00F85863"/>
    <w:rsid w:val="00FA5F2F"/>
    <w:rsid w:val="00FA6977"/>
    <w:rsid w:val="00FB6DE0"/>
    <w:rsid w:val="00FD131E"/>
    <w:rsid w:val="00FD7019"/>
    <w:rsid w:val="00FD7419"/>
    <w:rsid w:val="00FE5DD6"/>
    <w:rsid w:val="00FF0003"/>
    <w:rsid w:val="00FF52CC"/>
    <w:rsid w:val="00FF6BAE"/>
    <w:rsid w:val="01F30322"/>
    <w:rsid w:val="02120C58"/>
    <w:rsid w:val="02E01C47"/>
    <w:rsid w:val="03D75B83"/>
    <w:rsid w:val="045126D0"/>
    <w:rsid w:val="05116333"/>
    <w:rsid w:val="063F563F"/>
    <w:rsid w:val="06F032BA"/>
    <w:rsid w:val="09282757"/>
    <w:rsid w:val="0952471B"/>
    <w:rsid w:val="0FFF1232"/>
    <w:rsid w:val="125A60E9"/>
    <w:rsid w:val="1B7E1BA5"/>
    <w:rsid w:val="1F236E93"/>
    <w:rsid w:val="1F35183E"/>
    <w:rsid w:val="20FB079F"/>
    <w:rsid w:val="25336008"/>
    <w:rsid w:val="25AE12D9"/>
    <w:rsid w:val="28904C43"/>
    <w:rsid w:val="2BEF137D"/>
    <w:rsid w:val="2D0839C4"/>
    <w:rsid w:val="308B0B94"/>
    <w:rsid w:val="30DE276A"/>
    <w:rsid w:val="35337105"/>
    <w:rsid w:val="37DD04F3"/>
    <w:rsid w:val="39687B07"/>
    <w:rsid w:val="39C40C73"/>
    <w:rsid w:val="3BB05953"/>
    <w:rsid w:val="3CC82828"/>
    <w:rsid w:val="3D25618E"/>
    <w:rsid w:val="41CE4D51"/>
    <w:rsid w:val="41DC0DAA"/>
    <w:rsid w:val="4416656F"/>
    <w:rsid w:val="44177FAE"/>
    <w:rsid w:val="49C54AA1"/>
    <w:rsid w:val="52BB0A0D"/>
    <w:rsid w:val="5B4F3ED7"/>
    <w:rsid w:val="5C2B081A"/>
    <w:rsid w:val="5D686B77"/>
    <w:rsid w:val="5E53742D"/>
    <w:rsid w:val="5F443B39"/>
    <w:rsid w:val="603F630B"/>
    <w:rsid w:val="61D513C0"/>
    <w:rsid w:val="62633D2B"/>
    <w:rsid w:val="628726BA"/>
    <w:rsid w:val="628C1A7E"/>
    <w:rsid w:val="64161DD1"/>
    <w:rsid w:val="670B2B7D"/>
    <w:rsid w:val="6AE82164"/>
    <w:rsid w:val="6AEA7C8A"/>
    <w:rsid w:val="6CA707D6"/>
    <w:rsid w:val="6DD4077E"/>
    <w:rsid w:val="6FBC284E"/>
    <w:rsid w:val="70BD17CB"/>
    <w:rsid w:val="711F6B63"/>
    <w:rsid w:val="71BC1C54"/>
    <w:rsid w:val="73E86551"/>
    <w:rsid w:val="77221397"/>
    <w:rsid w:val="78EF290F"/>
    <w:rsid w:val="791C313E"/>
    <w:rsid w:val="79C71A9D"/>
    <w:rsid w:val="7AC974BD"/>
    <w:rsid w:val="7B42091B"/>
    <w:rsid w:val="7ED830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1"/>
      <w:lang w:val="en-US" w:eastAsia="zh-CN" w:bidi="ar-SA"/>
    </w:rPr>
  </w:style>
  <w:style w:type="paragraph" w:styleId="2">
    <w:name w:val="heading 1"/>
    <w:basedOn w:val="1"/>
    <w:next w:val="1"/>
    <w:link w:val="77"/>
    <w:autoRedefine/>
    <w:qFormat/>
    <w:uiPriority w:val="0"/>
    <w:pPr>
      <w:keepNext/>
      <w:keepLines/>
      <w:widowControl w:val="0"/>
      <w:spacing w:before="340" w:after="330" w:line="578" w:lineRule="auto"/>
      <w:jc w:val="both"/>
      <w:outlineLvl w:val="0"/>
    </w:pPr>
    <w:rPr>
      <w:b/>
      <w:bCs/>
      <w:kern w:val="44"/>
      <w:sz w:val="44"/>
      <w:szCs w:val="44"/>
    </w:rPr>
  </w:style>
  <w:style w:type="paragraph" w:styleId="3">
    <w:name w:val="heading 2"/>
    <w:basedOn w:val="1"/>
    <w:next w:val="1"/>
    <w:link w:val="60"/>
    <w:autoRedefine/>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4">
    <w:name w:val="heading 3"/>
    <w:basedOn w:val="1"/>
    <w:next w:val="1"/>
    <w:link w:val="61"/>
    <w:autoRedefine/>
    <w:qFormat/>
    <w:uiPriority w:val="0"/>
    <w:pPr>
      <w:keepNext/>
      <w:keepLines/>
      <w:widowControl w:val="0"/>
      <w:spacing w:before="260" w:after="260" w:line="416" w:lineRule="auto"/>
      <w:jc w:val="both"/>
      <w:outlineLvl w:val="2"/>
    </w:pPr>
    <w:rPr>
      <w:b/>
      <w:bCs/>
      <w:kern w:val="2"/>
      <w:sz w:val="32"/>
      <w:szCs w:val="32"/>
    </w:rPr>
  </w:style>
  <w:style w:type="paragraph" w:styleId="5">
    <w:name w:val="heading 4"/>
    <w:basedOn w:val="1"/>
    <w:next w:val="1"/>
    <w:link w:val="62"/>
    <w:autoRedefine/>
    <w:qFormat/>
    <w:uiPriority w:val="0"/>
    <w:pPr>
      <w:keepNext/>
      <w:keepLines/>
      <w:widowControl w:val="0"/>
      <w:spacing w:before="280" w:after="290" w:line="376" w:lineRule="auto"/>
      <w:jc w:val="both"/>
      <w:outlineLvl w:val="3"/>
    </w:pPr>
    <w:rPr>
      <w:rFonts w:ascii="Arial" w:hAnsi="Arial" w:eastAsia="黑体"/>
      <w:b/>
      <w:bCs/>
      <w:kern w:val="2"/>
      <w:sz w:val="28"/>
      <w:szCs w:val="28"/>
    </w:rPr>
  </w:style>
  <w:style w:type="paragraph" w:styleId="6">
    <w:name w:val="heading 5"/>
    <w:basedOn w:val="1"/>
    <w:next w:val="1"/>
    <w:link w:val="63"/>
    <w:autoRedefine/>
    <w:qFormat/>
    <w:uiPriority w:val="0"/>
    <w:pPr>
      <w:keepNext/>
      <w:keepLines/>
      <w:widowControl w:val="0"/>
      <w:tabs>
        <w:tab w:val="left" w:pos="2520"/>
      </w:tabs>
      <w:spacing w:before="120" w:line="360" w:lineRule="auto"/>
      <w:ind w:left="2520" w:hanging="420"/>
      <w:jc w:val="both"/>
      <w:outlineLvl w:val="4"/>
    </w:pPr>
    <w:rPr>
      <w:kern w:val="2"/>
      <w:szCs w:val="44"/>
    </w:rPr>
  </w:style>
  <w:style w:type="paragraph" w:styleId="7">
    <w:name w:val="heading 6"/>
    <w:basedOn w:val="1"/>
    <w:next w:val="1"/>
    <w:link w:val="64"/>
    <w:autoRedefine/>
    <w:qFormat/>
    <w:uiPriority w:val="0"/>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8">
    <w:name w:val="heading 7"/>
    <w:basedOn w:val="1"/>
    <w:next w:val="1"/>
    <w:link w:val="65"/>
    <w:autoRedefine/>
    <w:qFormat/>
    <w:uiPriority w:val="0"/>
    <w:pPr>
      <w:keepNext/>
      <w:keepLines/>
      <w:widowControl w:val="0"/>
      <w:tabs>
        <w:tab w:val="left" w:pos="3360"/>
      </w:tabs>
      <w:spacing w:before="120" w:line="360" w:lineRule="auto"/>
      <w:ind w:left="3360" w:hanging="420"/>
      <w:jc w:val="both"/>
      <w:outlineLvl w:val="6"/>
    </w:pPr>
    <w:rPr>
      <w:kern w:val="2"/>
      <w:szCs w:val="44"/>
    </w:rPr>
  </w:style>
  <w:style w:type="paragraph" w:styleId="9">
    <w:name w:val="heading 8"/>
    <w:basedOn w:val="1"/>
    <w:next w:val="1"/>
    <w:link w:val="66"/>
    <w:autoRedefine/>
    <w:qFormat/>
    <w:uiPriority w:val="0"/>
    <w:pPr>
      <w:keepNext/>
      <w:keepLines/>
      <w:widowControl w:val="0"/>
      <w:tabs>
        <w:tab w:val="left" w:pos="420"/>
      </w:tabs>
      <w:spacing w:before="240" w:after="64" w:line="320" w:lineRule="auto"/>
      <w:ind w:left="420" w:hanging="420"/>
      <w:jc w:val="both"/>
      <w:outlineLvl w:val="7"/>
    </w:pPr>
    <w:rPr>
      <w:kern w:val="2"/>
      <w:sz w:val="24"/>
      <w:szCs w:val="44"/>
    </w:rPr>
  </w:style>
  <w:style w:type="paragraph" w:styleId="10">
    <w:name w:val="heading 9"/>
    <w:basedOn w:val="1"/>
    <w:next w:val="1"/>
    <w:link w:val="67"/>
    <w:autoRedefine/>
    <w:qFormat/>
    <w:uiPriority w:val="0"/>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48">
    <w:name w:val="Default Paragraph Font"/>
    <w:autoRedefine/>
    <w:semiHidden/>
    <w:unhideWhenUsed/>
    <w:qFormat/>
    <w:uiPriority w:val="1"/>
  </w:style>
  <w:style w:type="table" w:default="1" w:styleId="46">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pPr>
    <w:rPr>
      <w:rFonts w:asciiTheme="minorHAnsi" w:hAnsiTheme="minorHAnsi" w:cstheme="minorHAnsi"/>
      <w:sz w:val="18"/>
      <w:szCs w:val="18"/>
    </w:rPr>
  </w:style>
  <w:style w:type="paragraph" w:styleId="12">
    <w:name w:val="Note Heading"/>
    <w:basedOn w:val="1"/>
    <w:next w:val="1"/>
    <w:link w:val="184"/>
    <w:autoRedefine/>
    <w:qFormat/>
    <w:uiPriority w:val="0"/>
    <w:pPr>
      <w:widowControl w:val="0"/>
      <w:jc w:val="center"/>
    </w:pPr>
    <w:rPr>
      <w:kern w:val="2"/>
      <w:szCs w:val="24"/>
    </w:rPr>
  </w:style>
  <w:style w:type="paragraph" w:styleId="13">
    <w:name w:val="Normal Indent"/>
    <w:basedOn w:val="1"/>
    <w:link w:val="84"/>
    <w:autoRedefine/>
    <w:qFormat/>
    <w:uiPriority w:val="0"/>
    <w:pPr>
      <w:spacing w:line="360" w:lineRule="auto"/>
      <w:ind w:firstLine="420"/>
    </w:pPr>
    <w:rPr>
      <w:rFonts w:ascii="宋体" w:hAnsiTheme="minorHAnsi" w:cstheme="minorBidi"/>
      <w:kern w:val="2"/>
      <w:szCs w:val="22"/>
    </w:rPr>
  </w:style>
  <w:style w:type="paragraph" w:styleId="14">
    <w:name w:val="caption"/>
    <w:basedOn w:val="1"/>
    <w:next w:val="1"/>
    <w:autoRedefine/>
    <w:qFormat/>
    <w:uiPriority w:val="0"/>
    <w:rPr>
      <w:rFonts w:ascii="Arial" w:hAnsi="Arial" w:eastAsia="黑体" w:cs="Arial"/>
      <w:sz w:val="20"/>
    </w:rPr>
  </w:style>
  <w:style w:type="paragraph" w:styleId="15">
    <w:name w:val="List Bullet"/>
    <w:basedOn w:val="1"/>
    <w:autoRedefine/>
    <w:qFormat/>
    <w:uiPriority w:val="0"/>
    <w:pPr>
      <w:widowControl w:val="0"/>
      <w:tabs>
        <w:tab w:val="left" w:pos="709"/>
      </w:tabs>
      <w:ind w:left="709" w:hanging="709"/>
      <w:jc w:val="both"/>
    </w:pPr>
    <w:rPr>
      <w:kern w:val="2"/>
    </w:rPr>
  </w:style>
  <w:style w:type="paragraph" w:styleId="16">
    <w:name w:val="Document Map"/>
    <w:basedOn w:val="1"/>
    <w:link w:val="180"/>
    <w:autoRedefine/>
    <w:qFormat/>
    <w:uiPriority w:val="0"/>
    <w:pPr>
      <w:shd w:val="clear" w:color="auto" w:fill="000080"/>
    </w:pPr>
    <w:rPr>
      <w:rFonts w:asciiTheme="minorHAnsi" w:hAnsiTheme="minorHAnsi" w:cstheme="minorBidi"/>
      <w:kern w:val="2"/>
      <w:szCs w:val="22"/>
    </w:rPr>
  </w:style>
  <w:style w:type="paragraph" w:styleId="17">
    <w:name w:val="annotation text"/>
    <w:basedOn w:val="1"/>
    <w:link w:val="175"/>
    <w:autoRedefine/>
    <w:unhideWhenUsed/>
    <w:qFormat/>
    <w:uiPriority w:val="0"/>
  </w:style>
  <w:style w:type="paragraph" w:styleId="18">
    <w:name w:val="Salutation"/>
    <w:basedOn w:val="1"/>
    <w:next w:val="1"/>
    <w:link w:val="179"/>
    <w:autoRedefine/>
    <w:qFormat/>
    <w:uiPriority w:val="0"/>
    <w:pPr>
      <w:widowControl w:val="0"/>
      <w:jc w:val="both"/>
    </w:pPr>
    <w:rPr>
      <w:kern w:val="2"/>
      <w:szCs w:val="24"/>
    </w:rPr>
  </w:style>
  <w:style w:type="paragraph" w:styleId="19">
    <w:name w:val="Body Text 3"/>
    <w:basedOn w:val="1"/>
    <w:link w:val="168"/>
    <w:autoRedefine/>
    <w:qFormat/>
    <w:uiPriority w:val="0"/>
    <w:pPr>
      <w:widowControl w:val="0"/>
      <w:spacing w:after="60"/>
      <w:jc w:val="center"/>
    </w:pPr>
    <w:rPr>
      <w:rFonts w:ascii="华康简标题宋" w:eastAsia="华康简标题宋"/>
      <w:bCs/>
      <w:kern w:val="2"/>
      <w:sz w:val="52"/>
      <w:szCs w:val="52"/>
    </w:rPr>
  </w:style>
  <w:style w:type="paragraph" w:styleId="20">
    <w:name w:val="Body Text"/>
    <w:basedOn w:val="1"/>
    <w:next w:val="21"/>
    <w:link w:val="182"/>
    <w:autoRedefine/>
    <w:qFormat/>
    <w:uiPriority w:val="0"/>
    <w:pPr>
      <w:spacing w:after="120"/>
    </w:pPr>
    <w:rPr>
      <w:rFonts w:asciiTheme="minorHAnsi" w:hAnsiTheme="minorHAnsi" w:cstheme="minorBidi"/>
      <w:kern w:val="2"/>
      <w:szCs w:val="22"/>
    </w:rPr>
  </w:style>
  <w:style w:type="paragraph" w:styleId="21">
    <w:name w:val="Body Text 2"/>
    <w:basedOn w:val="1"/>
    <w:next w:val="20"/>
    <w:link w:val="188"/>
    <w:autoRedefine/>
    <w:qFormat/>
    <w:uiPriority w:val="0"/>
    <w:pPr>
      <w:widowControl w:val="0"/>
      <w:spacing w:line="280" w:lineRule="exact"/>
      <w:jc w:val="both"/>
    </w:pPr>
    <w:rPr>
      <w:rFonts w:ascii="仿宋_GB2312" w:eastAsia="仿宋_GB2312"/>
      <w:kern w:val="2"/>
      <w:sz w:val="24"/>
      <w:szCs w:val="24"/>
    </w:rPr>
  </w:style>
  <w:style w:type="paragraph" w:styleId="22">
    <w:name w:val="Body Text Indent"/>
    <w:basedOn w:val="1"/>
    <w:link w:val="167"/>
    <w:autoRedefine/>
    <w:qFormat/>
    <w:uiPriority w:val="0"/>
    <w:pPr>
      <w:spacing w:after="120"/>
      <w:ind w:left="420" w:leftChars="200"/>
    </w:pPr>
    <w:rPr>
      <w:rFonts w:asciiTheme="minorHAnsi" w:hAnsiTheme="minorHAnsi" w:cstheme="minorBidi"/>
      <w:kern w:val="2"/>
      <w:szCs w:val="22"/>
    </w:rPr>
  </w:style>
  <w:style w:type="paragraph" w:styleId="23">
    <w:name w:val="toc 5"/>
    <w:basedOn w:val="1"/>
    <w:next w:val="1"/>
    <w:autoRedefine/>
    <w:qFormat/>
    <w:uiPriority w:val="0"/>
    <w:pPr>
      <w:ind w:left="840"/>
    </w:pPr>
    <w:rPr>
      <w:rFonts w:asciiTheme="minorHAnsi" w:hAnsiTheme="minorHAnsi" w:cstheme="minorHAnsi"/>
      <w:sz w:val="18"/>
      <w:szCs w:val="18"/>
    </w:rPr>
  </w:style>
  <w:style w:type="paragraph" w:styleId="24">
    <w:name w:val="toc 3"/>
    <w:basedOn w:val="1"/>
    <w:next w:val="1"/>
    <w:autoRedefine/>
    <w:qFormat/>
    <w:uiPriority w:val="39"/>
    <w:pPr>
      <w:ind w:left="420"/>
    </w:pPr>
    <w:rPr>
      <w:rFonts w:asciiTheme="minorHAnsi" w:hAnsiTheme="minorHAnsi" w:cstheme="minorHAnsi"/>
      <w:i/>
      <w:iCs/>
      <w:sz w:val="20"/>
    </w:rPr>
  </w:style>
  <w:style w:type="paragraph" w:styleId="25">
    <w:name w:val="Plain Text"/>
    <w:basedOn w:val="1"/>
    <w:link w:val="172"/>
    <w:autoRedefine/>
    <w:qFormat/>
    <w:uiPriority w:val="0"/>
    <w:pPr>
      <w:widowControl w:val="0"/>
      <w:jc w:val="both"/>
    </w:pPr>
    <w:rPr>
      <w:rFonts w:ascii="宋体" w:hAnsi="Courier New" w:cs="Courier New"/>
      <w:kern w:val="2"/>
      <w:szCs w:val="21"/>
    </w:rPr>
  </w:style>
  <w:style w:type="paragraph" w:styleId="26">
    <w:name w:val="toc 8"/>
    <w:basedOn w:val="1"/>
    <w:next w:val="1"/>
    <w:autoRedefine/>
    <w:qFormat/>
    <w:uiPriority w:val="0"/>
    <w:pPr>
      <w:ind w:left="1470"/>
    </w:pPr>
    <w:rPr>
      <w:rFonts w:asciiTheme="minorHAnsi" w:hAnsiTheme="minorHAnsi" w:cstheme="minorHAnsi"/>
      <w:sz w:val="18"/>
      <w:szCs w:val="18"/>
    </w:rPr>
  </w:style>
  <w:style w:type="paragraph" w:styleId="27">
    <w:name w:val="Date"/>
    <w:basedOn w:val="1"/>
    <w:next w:val="1"/>
    <w:link w:val="181"/>
    <w:autoRedefine/>
    <w:qFormat/>
    <w:uiPriority w:val="0"/>
    <w:pPr>
      <w:ind w:left="100" w:leftChars="2500"/>
    </w:pPr>
  </w:style>
  <w:style w:type="paragraph" w:styleId="28">
    <w:name w:val="Body Text Indent 2"/>
    <w:basedOn w:val="1"/>
    <w:link w:val="165"/>
    <w:autoRedefine/>
    <w:qFormat/>
    <w:uiPriority w:val="0"/>
    <w:pPr>
      <w:widowControl w:val="0"/>
      <w:spacing w:line="360" w:lineRule="auto"/>
      <w:ind w:firstLine="360"/>
      <w:jc w:val="both"/>
    </w:pPr>
    <w:rPr>
      <w:rFonts w:ascii="宋体"/>
      <w:kern w:val="2"/>
      <w:sz w:val="24"/>
    </w:rPr>
  </w:style>
  <w:style w:type="paragraph" w:styleId="29">
    <w:name w:val="Balloon Text"/>
    <w:basedOn w:val="1"/>
    <w:link w:val="174"/>
    <w:autoRedefine/>
    <w:qFormat/>
    <w:uiPriority w:val="0"/>
    <w:pPr>
      <w:widowControl w:val="0"/>
      <w:jc w:val="both"/>
    </w:pPr>
    <w:rPr>
      <w:rFonts w:asciiTheme="minorHAnsi" w:hAnsiTheme="minorHAnsi" w:cstheme="minorBidi"/>
      <w:kern w:val="2"/>
      <w:sz w:val="18"/>
      <w:szCs w:val="18"/>
    </w:rPr>
  </w:style>
  <w:style w:type="paragraph" w:styleId="30">
    <w:name w:val="footer"/>
    <w:basedOn w:val="1"/>
    <w:link w:val="57"/>
    <w:autoRedefine/>
    <w:unhideWhenUsed/>
    <w:qFormat/>
    <w:uiPriority w:val="99"/>
    <w:pPr>
      <w:tabs>
        <w:tab w:val="center" w:pos="4153"/>
        <w:tab w:val="right" w:pos="8306"/>
      </w:tabs>
      <w:snapToGrid w:val="0"/>
    </w:pPr>
    <w:rPr>
      <w:sz w:val="18"/>
      <w:szCs w:val="18"/>
    </w:rPr>
  </w:style>
  <w:style w:type="paragraph" w:styleId="31">
    <w:name w:val="header"/>
    <w:basedOn w:val="1"/>
    <w:link w:val="5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Signature"/>
    <w:basedOn w:val="1"/>
    <w:link w:val="163"/>
    <w:autoRedefine/>
    <w:qFormat/>
    <w:uiPriority w:val="0"/>
    <w:pPr>
      <w:jc w:val="right"/>
    </w:pPr>
    <w:rPr>
      <w:rFonts w:asciiTheme="minorHAnsi" w:hAnsiTheme="minorHAnsi" w:cstheme="minorBidi"/>
      <w:kern w:val="2"/>
      <w:szCs w:val="21"/>
    </w:rPr>
  </w:style>
  <w:style w:type="paragraph" w:styleId="33">
    <w:name w:val="toc 1"/>
    <w:basedOn w:val="1"/>
    <w:next w:val="1"/>
    <w:autoRedefine/>
    <w:qFormat/>
    <w:uiPriority w:val="39"/>
    <w:pPr>
      <w:spacing w:before="120" w:after="120"/>
    </w:pPr>
    <w:rPr>
      <w:rFonts w:asciiTheme="minorHAnsi" w:hAnsiTheme="minorHAnsi" w:cstheme="minorHAnsi"/>
      <w:b/>
      <w:bCs/>
      <w:caps/>
      <w:sz w:val="20"/>
    </w:rPr>
  </w:style>
  <w:style w:type="paragraph" w:styleId="34">
    <w:name w:val="toc 4"/>
    <w:basedOn w:val="1"/>
    <w:next w:val="1"/>
    <w:autoRedefine/>
    <w:qFormat/>
    <w:uiPriority w:val="0"/>
    <w:pPr>
      <w:ind w:left="630"/>
    </w:pPr>
    <w:rPr>
      <w:rFonts w:asciiTheme="minorHAnsi" w:hAnsiTheme="minorHAnsi" w:cstheme="minorHAnsi"/>
      <w:sz w:val="18"/>
      <w:szCs w:val="18"/>
    </w:rPr>
  </w:style>
  <w:style w:type="paragraph" w:styleId="35">
    <w:name w:val="Subtitle"/>
    <w:basedOn w:val="1"/>
    <w:next w:val="1"/>
    <w:link w:val="189"/>
    <w:autoRedefine/>
    <w:qFormat/>
    <w:uiPriority w:val="0"/>
    <w:pPr>
      <w:spacing w:before="40" w:after="40"/>
      <w:jc w:val="center"/>
    </w:pPr>
    <w:rPr>
      <w:rFonts w:eastAsia="幼圆" w:asciiTheme="minorHAnsi" w:hAnsiTheme="minorHAnsi" w:cstheme="minorBidi"/>
      <w:b/>
      <w:bCs/>
      <w:kern w:val="2"/>
      <w:sz w:val="28"/>
      <w:szCs w:val="28"/>
    </w:rPr>
  </w:style>
  <w:style w:type="paragraph" w:styleId="36">
    <w:name w:val="toc 6"/>
    <w:basedOn w:val="1"/>
    <w:next w:val="1"/>
    <w:autoRedefine/>
    <w:qFormat/>
    <w:uiPriority w:val="0"/>
    <w:pPr>
      <w:ind w:left="1050"/>
    </w:pPr>
    <w:rPr>
      <w:rFonts w:asciiTheme="minorHAnsi" w:hAnsiTheme="minorHAnsi" w:cstheme="minorHAnsi"/>
      <w:sz w:val="18"/>
      <w:szCs w:val="18"/>
    </w:rPr>
  </w:style>
  <w:style w:type="paragraph" w:styleId="37">
    <w:name w:val="Body Text Indent 3"/>
    <w:basedOn w:val="1"/>
    <w:link w:val="178"/>
    <w:autoRedefine/>
    <w:qFormat/>
    <w:uiPriority w:val="0"/>
    <w:pPr>
      <w:widowControl w:val="0"/>
      <w:spacing w:line="360" w:lineRule="exact"/>
      <w:ind w:firstLine="420" w:firstLineChars="200"/>
      <w:jc w:val="both"/>
    </w:pPr>
    <w:rPr>
      <w:kern w:val="2"/>
      <w:szCs w:val="24"/>
    </w:rPr>
  </w:style>
  <w:style w:type="paragraph" w:styleId="38">
    <w:name w:val="toc 2"/>
    <w:basedOn w:val="1"/>
    <w:next w:val="1"/>
    <w:autoRedefine/>
    <w:qFormat/>
    <w:uiPriority w:val="39"/>
    <w:pPr>
      <w:ind w:left="210"/>
    </w:pPr>
    <w:rPr>
      <w:rFonts w:asciiTheme="minorHAnsi" w:hAnsiTheme="minorHAnsi" w:cstheme="minorHAnsi"/>
      <w:smallCaps/>
      <w:sz w:val="20"/>
    </w:rPr>
  </w:style>
  <w:style w:type="paragraph" w:styleId="39">
    <w:name w:val="toc 9"/>
    <w:basedOn w:val="1"/>
    <w:next w:val="1"/>
    <w:autoRedefine/>
    <w:qFormat/>
    <w:uiPriority w:val="0"/>
    <w:pPr>
      <w:ind w:left="1680"/>
    </w:pPr>
    <w:rPr>
      <w:rFonts w:asciiTheme="minorHAnsi" w:hAnsiTheme="minorHAnsi" w:cstheme="minorHAnsi"/>
      <w:sz w:val="18"/>
      <w:szCs w:val="18"/>
    </w:rPr>
  </w:style>
  <w:style w:type="paragraph" w:styleId="40">
    <w:name w:val="Message Header"/>
    <w:basedOn w:val="20"/>
    <w:link w:val="162"/>
    <w:autoRedefine/>
    <w:qFormat/>
    <w:uiPriority w:val="0"/>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41">
    <w:name w:val="HTML Preformatted"/>
    <w:basedOn w:val="1"/>
    <w:link w:val="185"/>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42">
    <w:name w:val="Normal (Web)"/>
    <w:basedOn w:val="1"/>
    <w:autoRedefine/>
    <w:qFormat/>
    <w:uiPriority w:val="99"/>
    <w:pPr>
      <w:widowControl w:val="0"/>
      <w:jc w:val="both"/>
    </w:pPr>
    <w:rPr>
      <w:kern w:val="2"/>
      <w:sz w:val="24"/>
      <w:szCs w:val="24"/>
    </w:rPr>
  </w:style>
  <w:style w:type="paragraph" w:styleId="43">
    <w:name w:val="Title"/>
    <w:basedOn w:val="1"/>
    <w:next w:val="13"/>
    <w:link w:val="170"/>
    <w:autoRedefine/>
    <w:qFormat/>
    <w:uiPriority w:val="0"/>
    <w:pPr>
      <w:pageBreakBefore/>
      <w:widowControl w:val="0"/>
      <w:spacing w:beforeLines="1600" w:afterLines="100" w:line="300" w:lineRule="auto"/>
      <w:jc w:val="center"/>
    </w:pPr>
    <w:rPr>
      <w:rFonts w:ascii="Arial" w:hAnsi="Arial" w:eastAsia="黑体" w:cs="Arial"/>
      <w:b/>
      <w:bCs/>
      <w:kern w:val="2"/>
      <w:sz w:val="48"/>
      <w:szCs w:val="32"/>
    </w:rPr>
  </w:style>
  <w:style w:type="paragraph" w:styleId="44">
    <w:name w:val="annotation subject"/>
    <w:basedOn w:val="17"/>
    <w:next w:val="17"/>
    <w:link w:val="176"/>
    <w:autoRedefine/>
    <w:qFormat/>
    <w:uiPriority w:val="0"/>
    <w:pPr>
      <w:widowControl w:val="0"/>
    </w:pPr>
    <w:rPr>
      <w:rFonts w:ascii="宋体" w:hAnsiTheme="minorHAnsi" w:cstheme="minorBidi"/>
      <w:b/>
      <w:bCs/>
      <w:kern w:val="2"/>
      <w:szCs w:val="24"/>
    </w:rPr>
  </w:style>
  <w:style w:type="paragraph" w:styleId="45">
    <w:name w:val="Body Text First Indent"/>
    <w:basedOn w:val="1"/>
    <w:link w:val="187"/>
    <w:autoRedefine/>
    <w:qFormat/>
    <w:uiPriority w:val="0"/>
    <w:pPr>
      <w:widowControl w:val="0"/>
      <w:adjustRightInd w:val="0"/>
      <w:snapToGrid w:val="0"/>
      <w:spacing w:after="120" w:line="400" w:lineRule="exact"/>
      <w:ind w:firstLine="510"/>
      <w:jc w:val="both"/>
    </w:pPr>
    <w:rPr>
      <w:kern w:val="2"/>
      <w:sz w:val="24"/>
      <w:szCs w:val="44"/>
    </w:rPr>
  </w:style>
  <w:style w:type="table" w:styleId="47">
    <w:name w:val="Table Grid"/>
    <w:basedOn w:val="4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9">
    <w:name w:val="Strong"/>
    <w:basedOn w:val="48"/>
    <w:autoRedefine/>
    <w:qFormat/>
    <w:uiPriority w:val="0"/>
    <w:rPr>
      <w:b/>
      <w:bCs/>
    </w:rPr>
  </w:style>
  <w:style w:type="character" w:styleId="50">
    <w:name w:val="page number"/>
    <w:basedOn w:val="48"/>
    <w:autoRedefine/>
    <w:qFormat/>
    <w:uiPriority w:val="0"/>
  </w:style>
  <w:style w:type="character" w:styleId="51">
    <w:name w:val="FollowedHyperlink"/>
    <w:basedOn w:val="48"/>
    <w:autoRedefine/>
    <w:qFormat/>
    <w:uiPriority w:val="99"/>
    <w:rPr>
      <w:color w:val="800080"/>
      <w:u w:val="single"/>
    </w:rPr>
  </w:style>
  <w:style w:type="character" w:styleId="52">
    <w:name w:val="Emphasis"/>
    <w:basedOn w:val="48"/>
    <w:autoRedefine/>
    <w:qFormat/>
    <w:uiPriority w:val="0"/>
    <w:rPr>
      <w:color w:val="CC0000"/>
    </w:rPr>
  </w:style>
  <w:style w:type="character" w:styleId="53">
    <w:name w:val="Hyperlink"/>
    <w:basedOn w:val="48"/>
    <w:autoRedefine/>
    <w:unhideWhenUsed/>
    <w:qFormat/>
    <w:uiPriority w:val="99"/>
    <w:rPr>
      <w:color w:val="0000FF" w:themeColor="hyperlink"/>
      <w:u w:val="single"/>
    </w:rPr>
  </w:style>
  <w:style w:type="character" w:styleId="54">
    <w:name w:val="annotation reference"/>
    <w:basedOn w:val="48"/>
    <w:autoRedefine/>
    <w:qFormat/>
    <w:uiPriority w:val="0"/>
    <w:rPr>
      <w:sz w:val="21"/>
      <w:szCs w:val="21"/>
    </w:rPr>
  </w:style>
  <w:style w:type="paragraph" w:customStyle="1" w:styleId="55">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页眉 Char"/>
    <w:basedOn w:val="48"/>
    <w:link w:val="31"/>
    <w:autoRedefine/>
    <w:qFormat/>
    <w:uiPriority w:val="99"/>
    <w:rPr>
      <w:rFonts w:ascii="Times New Roman" w:hAnsi="Times New Roman" w:eastAsia="宋体" w:cs="Times New Roman"/>
      <w:kern w:val="0"/>
      <w:sz w:val="18"/>
      <w:szCs w:val="18"/>
    </w:rPr>
  </w:style>
  <w:style w:type="character" w:customStyle="1" w:styleId="57">
    <w:name w:val="页脚 Char"/>
    <w:basedOn w:val="48"/>
    <w:link w:val="30"/>
    <w:autoRedefine/>
    <w:qFormat/>
    <w:uiPriority w:val="99"/>
    <w:rPr>
      <w:rFonts w:ascii="Times New Roman" w:hAnsi="Times New Roman" w:eastAsia="宋体" w:cs="Times New Roman"/>
      <w:kern w:val="0"/>
      <w:sz w:val="18"/>
      <w:szCs w:val="18"/>
    </w:rPr>
  </w:style>
  <w:style w:type="paragraph" w:customStyle="1" w:styleId="58">
    <w:name w:val="12册标题"/>
    <w:basedOn w:val="1"/>
    <w:next w:val="1"/>
    <w:autoRedefine/>
    <w:qFormat/>
    <w:uiPriority w:val="0"/>
    <w:pPr>
      <w:widowControl w:val="0"/>
      <w:spacing w:beforeLines="50" w:afterLines="50"/>
      <w:jc w:val="center"/>
      <w:outlineLvl w:val="0"/>
    </w:pPr>
    <w:rPr>
      <w:rFonts w:ascii="Arial" w:hAnsi="Arial" w:eastAsia="黑体"/>
      <w:kern w:val="2"/>
      <w:sz w:val="44"/>
    </w:rPr>
  </w:style>
  <w:style w:type="character" w:customStyle="1" w:styleId="59">
    <w:name w:val="标题 1 Char"/>
    <w:basedOn w:val="48"/>
    <w:autoRedefine/>
    <w:qFormat/>
    <w:uiPriority w:val="0"/>
    <w:rPr>
      <w:rFonts w:ascii="Times New Roman" w:hAnsi="Times New Roman" w:eastAsia="宋体" w:cs="Times New Roman"/>
      <w:b/>
      <w:bCs/>
      <w:kern w:val="44"/>
      <w:sz w:val="44"/>
      <w:szCs w:val="44"/>
    </w:rPr>
  </w:style>
  <w:style w:type="character" w:customStyle="1" w:styleId="60">
    <w:name w:val="标题 2 Char"/>
    <w:basedOn w:val="48"/>
    <w:link w:val="3"/>
    <w:autoRedefine/>
    <w:qFormat/>
    <w:uiPriority w:val="0"/>
    <w:rPr>
      <w:rFonts w:ascii="Arial" w:hAnsi="Arial" w:eastAsia="黑体" w:cs="Times New Roman"/>
      <w:b/>
      <w:bCs/>
      <w:sz w:val="32"/>
      <w:szCs w:val="32"/>
    </w:rPr>
  </w:style>
  <w:style w:type="character" w:customStyle="1" w:styleId="61">
    <w:name w:val="标题 3 Char"/>
    <w:basedOn w:val="48"/>
    <w:link w:val="4"/>
    <w:autoRedefine/>
    <w:qFormat/>
    <w:uiPriority w:val="0"/>
    <w:rPr>
      <w:rFonts w:ascii="Times New Roman" w:hAnsi="Times New Roman" w:eastAsia="宋体" w:cs="Times New Roman"/>
      <w:b/>
      <w:bCs/>
      <w:sz w:val="32"/>
      <w:szCs w:val="32"/>
    </w:rPr>
  </w:style>
  <w:style w:type="character" w:customStyle="1" w:styleId="62">
    <w:name w:val="标题 4 Char"/>
    <w:basedOn w:val="48"/>
    <w:link w:val="5"/>
    <w:autoRedefine/>
    <w:qFormat/>
    <w:uiPriority w:val="9"/>
    <w:rPr>
      <w:rFonts w:ascii="Arial" w:hAnsi="Arial" w:eastAsia="黑体" w:cs="Times New Roman"/>
      <w:b/>
      <w:bCs/>
      <w:sz w:val="28"/>
      <w:szCs w:val="28"/>
    </w:rPr>
  </w:style>
  <w:style w:type="character" w:customStyle="1" w:styleId="63">
    <w:name w:val="标题 5 Char"/>
    <w:basedOn w:val="48"/>
    <w:link w:val="6"/>
    <w:autoRedefine/>
    <w:qFormat/>
    <w:uiPriority w:val="0"/>
    <w:rPr>
      <w:rFonts w:ascii="Times New Roman" w:hAnsi="Times New Roman" w:eastAsia="宋体" w:cs="Times New Roman"/>
      <w:szCs w:val="44"/>
    </w:rPr>
  </w:style>
  <w:style w:type="character" w:customStyle="1" w:styleId="64">
    <w:name w:val="标题 6 Char"/>
    <w:basedOn w:val="48"/>
    <w:link w:val="7"/>
    <w:autoRedefine/>
    <w:qFormat/>
    <w:uiPriority w:val="0"/>
    <w:rPr>
      <w:rFonts w:ascii="Arial" w:hAnsi="Arial" w:eastAsia="宋体" w:cs="Times New Roman"/>
      <w:szCs w:val="44"/>
    </w:rPr>
  </w:style>
  <w:style w:type="character" w:customStyle="1" w:styleId="65">
    <w:name w:val="标题 7 Char"/>
    <w:basedOn w:val="48"/>
    <w:link w:val="8"/>
    <w:autoRedefine/>
    <w:qFormat/>
    <w:uiPriority w:val="0"/>
    <w:rPr>
      <w:rFonts w:ascii="Times New Roman" w:hAnsi="Times New Roman" w:eastAsia="宋体" w:cs="Times New Roman"/>
      <w:szCs w:val="44"/>
    </w:rPr>
  </w:style>
  <w:style w:type="character" w:customStyle="1" w:styleId="66">
    <w:name w:val="标题 8 Char"/>
    <w:basedOn w:val="48"/>
    <w:link w:val="9"/>
    <w:autoRedefine/>
    <w:qFormat/>
    <w:uiPriority w:val="0"/>
    <w:rPr>
      <w:rFonts w:ascii="Times New Roman" w:hAnsi="Times New Roman" w:eastAsia="宋体" w:cs="Times New Roman"/>
      <w:sz w:val="24"/>
      <w:szCs w:val="44"/>
    </w:rPr>
  </w:style>
  <w:style w:type="character" w:customStyle="1" w:styleId="67">
    <w:name w:val="标题 9 Char"/>
    <w:basedOn w:val="48"/>
    <w:link w:val="10"/>
    <w:autoRedefine/>
    <w:qFormat/>
    <w:uiPriority w:val="0"/>
    <w:rPr>
      <w:rFonts w:ascii="Arial" w:hAnsi="Arial" w:eastAsia="宋体" w:cs="Times New Roman"/>
      <w:szCs w:val="44"/>
    </w:rPr>
  </w:style>
  <w:style w:type="character" w:customStyle="1" w:styleId="68">
    <w:name w:val="Char Char11"/>
    <w:autoRedefine/>
    <w:qFormat/>
    <w:uiPriority w:val="0"/>
    <w:rPr>
      <w:rFonts w:eastAsia="宋体"/>
      <w:b/>
      <w:bCs/>
      <w:kern w:val="2"/>
      <w:sz w:val="24"/>
      <w:szCs w:val="24"/>
      <w:lang w:val="en-US" w:eastAsia="zh-CN" w:bidi="ar-SA"/>
    </w:rPr>
  </w:style>
  <w:style w:type="character" w:customStyle="1" w:styleId="69">
    <w:name w:val="Char Char7"/>
    <w:autoRedefine/>
    <w:qFormat/>
    <w:uiPriority w:val="0"/>
    <w:rPr>
      <w:rFonts w:eastAsia="仿宋"/>
      <w:b/>
      <w:bCs/>
      <w:kern w:val="2"/>
      <w:sz w:val="32"/>
      <w:szCs w:val="32"/>
      <w:lang w:val="en-US" w:eastAsia="zh-CN" w:bidi="ar-SA"/>
    </w:rPr>
  </w:style>
  <w:style w:type="character" w:customStyle="1" w:styleId="70">
    <w:name w:val="标题 3 Char Char"/>
    <w:basedOn w:val="48"/>
    <w:autoRedefine/>
    <w:qFormat/>
    <w:uiPriority w:val="0"/>
    <w:rPr>
      <w:rFonts w:ascii="黑体" w:eastAsia="黑体"/>
      <w:bCs/>
      <w:sz w:val="30"/>
    </w:rPr>
  </w:style>
  <w:style w:type="character" w:customStyle="1" w:styleId="71">
    <w:name w:val="Char Char9"/>
    <w:autoRedefine/>
    <w:qFormat/>
    <w:uiPriority w:val="0"/>
    <w:rPr>
      <w:rFonts w:ascii="宋体" w:eastAsia="宋体"/>
      <w:sz w:val="18"/>
      <w:szCs w:val="18"/>
      <w:lang w:val="en-US" w:eastAsia="zh-CN" w:bidi="ar-SA"/>
    </w:rPr>
  </w:style>
  <w:style w:type="character" w:customStyle="1" w:styleId="72">
    <w:name w:val="纯文本 Char"/>
    <w:basedOn w:val="48"/>
    <w:autoRedefine/>
    <w:qFormat/>
    <w:uiPriority w:val="0"/>
    <w:rPr>
      <w:rFonts w:ascii="宋体" w:hAnsi="Courier New" w:eastAsia="宋体" w:cs="Courier New"/>
      <w:szCs w:val="21"/>
    </w:rPr>
  </w:style>
  <w:style w:type="character" w:customStyle="1" w:styleId="73">
    <w:name w:val="已访问超链接"/>
    <w:basedOn w:val="48"/>
    <w:autoRedefine/>
    <w:qFormat/>
    <w:uiPriority w:val="0"/>
    <w:rPr>
      <w:color w:val="800080"/>
      <w:u w:val="single" w:color="800080"/>
    </w:rPr>
  </w:style>
  <w:style w:type="character" w:customStyle="1" w:styleId="74">
    <w:name w:val="Char Char22"/>
    <w:autoRedefine/>
    <w:qFormat/>
    <w:uiPriority w:val="0"/>
    <w:rPr>
      <w:rFonts w:eastAsia="宋体"/>
      <w:b/>
      <w:bCs/>
      <w:kern w:val="44"/>
      <w:sz w:val="44"/>
      <w:szCs w:val="44"/>
      <w:lang w:val="en-US" w:eastAsia="zh-CN" w:bidi="ar-SA"/>
    </w:rPr>
  </w:style>
  <w:style w:type="character" w:customStyle="1" w:styleId="75">
    <w:name w:val="plaintext"/>
    <w:basedOn w:val="48"/>
    <w:autoRedefine/>
    <w:qFormat/>
    <w:uiPriority w:val="0"/>
  </w:style>
  <w:style w:type="character" w:customStyle="1" w:styleId="76">
    <w:name w:val="Emphasis1"/>
    <w:autoRedefine/>
    <w:qFormat/>
    <w:uiPriority w:val="0"/>
    <w:rPr>
      <w:rFonts w:ascii="Arial Black" w:hAnsi="Arial Black" w:eastAsia="宋体"/>
      <w:sz w:val="18"/>
    </w:rPr>
  </w:style>
  <w:style w:type="character" w:customStyle="1" w:styleId="77">
    <w:name w:val="标题 1 Char1"/>
    <w:basedOn w:val="48"/>
    <w:link w:val="2"/>
    <w:autoRedefine/>
    <w:qFormat/>
    <w:uiPriority w:val="0"/>
    <w:rPr>
      <w:rFonts w:ascii="Times New Roman" w:hAnsi="Times New Roman" w:eastAsia="宋体" w:cs="Times New Roman"/>
      <w:b/>
      <w:bCs/>
      <w:kern w:val="44"/>
      <w:sz w:val="44"/>
      <w:szCs w:val="44"/>
    </w:rPr>
  </w:style>
  <w:style w:type="character" w:customStyle="1" w:styleId="78">
    <w:name w:val="Heading 4 Char"/>
    <w:autoRedefine/>
    <w:qFormat/>
    <w:uiPriority w:val="0"/>
    <w:rPr>
      <w:rFonts w:eastAsia="仿宋"/>
      <w:b/>
      <w:bCs/>
      <w:kern w:val="44"/>
      <w:sz w:val="32"/>
      <w:szCs w:val="32"/>
      <w:lang w:val="en-US" w:eastAsia="zh-CN" w:bidi="ar-SA"/>
    </w:rPr>
  </w:style>
  <w:style w:type="character" w:customStyle="1" w:styleId="79">
    <w:name w:val="Message Header Label"/>
    <w:autoRedefine/>
    <w:qFormat/>
    <w:uiPriority w:val="0"/>
    <w:rPr>
      <w:rFonts w:ascii="Arial Black" w:hAnsi="Arial Black" w:eastAsia="宋体"/>
      <w:sz w:val="18"/>
    </w:rPr>
  </w:style>
  <w:style w:type="character" w:customStyle="1" w:styleId="80">
    <w:name w:val=". (1.) Char"/>
    <w:autoRedefine/>
    <w:qFormat/>
    <w:uiPriority w:val="0"/>
    <w:rPr>
      <w:rFonts w:hint="eastAsia" w:ascii="Calibri" w:hAnsi="Calibri" w:eastAsia="宋体"/>
      <w:b/>
      <w:kern w:val="2"/>
      <w:sz w:val="28"/>
      <w:lang w:val="en-US" w:eastAsia="zh-CN"/>
    </w:rPr>
  </w:style>
  <w:style w:type="character" w:customStyle="1" w:styleId="81">
    <w:name w:val="抬头 Char"/>
    <w:link w:val="82"/>
    <w:autoRedefine/>
    <w:qFormat/>
    <w:uiPriority w:val="0"/>
    <w:rPr>
      <w:rFonts w:eastAsia="楷体"/>
      <w:b/>
      <w:bCs/>
      <w:sz w:val="24"/>
      <w:szCs w:val="24"/>
    </w:rPr>
  </w:style>
  <w:style w:type="paragraph" w:customStyle="1" w:styleId="82">
    <w:name w:val="抬头"/>
    <w:link w:val="81"/>
    <w:autoRedefine/>
    <w:qFormat/>
    <w:uiPriority w:val="0"/>
    <w:rPr>
      <w:rFonts w:eastAsia="楷体" w:asciiTheme="minorHAnsi" w:hAnsiTheme="minorHAnsi" w:cstheme="minorBidi"/>
      <w:b/>
      <w:bCs/>
      <w:kern w:val="2"/>
      <w:sz w:val="24"/>
      <w:szCs w:val="24"/>
      <w:lang w:val="en-US" w:eastAsia="zh-CN" w:bidi="ar-SA"/>
    </w:rPr>
  </w:style>
  <w:style w:type="character" w:customStyle="1" w:styleId="83">
    <w:name w:val="apple-converted-space"/>
    <w:basedOn w:val="48"/>
    <w:autoRedefine/>
    <w:qFormat/>
    <w:uiPriority w:val="0"/>
  </w:style>
  <w:style w:type="character" w:customStyle="1" w:styleId="84">
    <w:name w:val="正文缩进 Char"/>
    <w:basedOn w:val="48"/>
    <w:link w:val="13"/>
    <w:autoRedefine/>
    <w:qFormat/>
    <w:uiPriority w:val="0"/>
    <w:rPr>
      <w:rFonts w:ascii="宋体" w:eastAsia="宋体"/>
    </w:rPr>
  </w:style>
  <w:style w:type="character" w:customStyle="1" w:styleId="85">
    <w:name w:val="列出段落 Char"/>
    <w:link w:val="86"/>
    <w:autoRedefine/>
    <w:qFormat/>
    <w:uiPriority w:val="0"/>
    <w:rPr>
      <w:rFonts w:eastAsia="宋体"/>
      <w:szCs w:val="24"/>
    </w:rPr>
  </w:style>
  <w:style w:type="paragraph" w:styleId="86">
    <w:name w:val="List Paragraph"/>
    <w:basedOn w:val="1"/>
    <w:link w:val="85"/>
    <w:autoRedefine/>
    <w:qFormat/>
    <w:uiPriority w:val="1"/>
    <w:pPr>
      <w:widowControl w:val="0"/>
      <w:ind w:firstLine="420" w:firstLineChars="200"/>
      <w:jc w:val="both"/>
    </w:pPr>
    <w:rPr>
      <w:rFonts w:asciiTheme="minorHAnsi" w:hAnsiTheme="minorHAnsi" w:cstheme="minorBidi"/>
      <w:kern w:val="2"/>
      <w:szCs w:val="24"/>
    </w:rPr>
  </w:style>
  <w:style w:type="character" w:customStyle="1" w:styleId="87">
    <w:name w:val="正文文本缩进 Char"/>
    <w:autoRedefine/>
    <w:qFormat/>
    <w:uiPriority w:val="0"/>
    <w:rPr>
      <w:rFonts w:eastAsia="宋体"/>
    </w:rPr>
  </w:style>
  <w:style w:type="character" w:customStyle="1" w:styleId="88">
    <w:name w:val="批注文字 Char"/>
    <w:basedOn w:val="48"/>
    <w:autoRedefine/>
    <w:qFormat/>
    <w:uiPriority w:val="0"/>
    <w:rPr>
      <w:rFonts w:ascii="宋体" w:eastAsia="宋体"/>
      <w:sz w:val="34"/>
      <w:lang w:val="en-US" w:eastAsia="zh-CN" w:bidi="ar-SA"/>
    </w:rPr>
  </w:style>
  <w:style w:type="character" w:customStyle="1" w:styleId="89">
    <w:name w:val="bord"/>
    <w:basedOn w:val="48"/>
    <w:autoRedefine/>
    <w:qFormat/>
    <w:uiPriority w:val="0"/>
  </w:style>
  <w:style w:type="character" w:customStyle="1" w:styleId="90">
    <w:name w:val="文档结构图 Char"/>
    <w:basedOn w:val="48"/>
    <w:autoRedefine/>
    <w:qFormat/>
    <w:uiPriority w:val="0"/>
    <w:rPr>
      <w:rFonts w:eastAsia="宋体"/>
      <w:shd w:val="clear" w:color="auto" w:fill="000080"/>
    </w:rPr>
  </w:style>
  <w:style w:type="character" w:customStyle="1" w:styleId="91">
    <w:name w:val="表格字居中 Char"/>
    <w:link w:val="92"/>
    <w:autoRedefine/>
    <w:qFormat/>
    <w:uiPriority w:val="0"/>
    <w:rPr>
      <w:sz w:val="24"/>
      <w:szCs w:val="24"/>
    </w:rPr>
  </w:style>
  <w:style w:type="paragraph" w:customStyle="1" w:styleId="92">
    <w:name w:val="表格字居中"/>
    <w:basedOn w:val="93"/>
    <w:link w:val="91"/>
    <w:autoRedefine/>
    <w:qFormat/>
    <w:uiPriority w:val="0"/>
    <w:pPr>
      <w:jc w:val="center"/>
    </w:pPr>
    <w:rPr>
      <w:rFonts w:eastAsiaTheme="minorEastAsia"/>
      <w:sz w:val="24"/>
      <w:szCs w:val="24"/>
    </w:rPr>
  </w:style>
  <w:style w:type="paragraph" w:customStyle="1" w:styleId="93">
    <w:name w:val="表格字"/>
    <w:link w:val="101"/>
    <w:autoRedefine/>
    <w:qFormat/>
    <w:uiPriority w:val="0"/>
    <w:rPr>
      <w:rFonts w:eastAsia="Times New Roman" w:asciiTheme="minorHAnsi" w:hAnsiTheme="minorHAnsi" w:cstheme="minorBidi"/>
      <w:kern w:val="2"/>
      <w:sz w:val="21"/>
      <w:szCs w:val="21"/>
      <w:lang w:val="en-US" w:eastAsia="zh-CN" w:bidi="ar-SA"/>
    </w:rPr>
  </w:style>
  <w:style w:type="character" w:customStyle="1" w:styleId="94">
    <w:name w:val="表内文字 Char"/>
    <w:link w:val="95"/>
    <w:autoRedefine/>
    <w:qFormat/>
    <w:uiPriority w:val="0"/>
    <w:rPr>
      <w:rFonts w:ascii="Arial" w:hAnsi="Arial" w:eastAsia="宋体" w:cs="宋体"/>
    </w:rPr>
  </w:style>
  <w:style w:type="paragraph" w:customStyle="1" w:styleId="95">
    <w:name w:val="表内文字"/>
    <w:basedOn w:val="1"/>
    <w:link w:val="94"/>
    <w:autoRedefine/>
    <w:qFormat/>
    <w:uiPriority w:val="0"/>
    <w:pPr>
      <w:widowControl w:val="0"/>
      <w:jc w:val="both"/>
    </w:pPr>
    <w:rPr>
      <w:rFonts w:ascii="Arial" w:hAnsi="Arial" w:cs="宋体"/>
      <w:kern w:val="2"/>
      <w:szCs w:val="22"/>
    </w:rPr>
  </w:style>
  <w:style w:type="character" w:customStyle="1" w:styleId="96">
    <w:name w:val="Char Char5"/>
    <w:autoRedefine/>
    <w:qFormat/>
    <w:uiPriority w:val="0"/>
    <w:rPr>
      <w:rFonts w:eastAsia="仿宋"/>
      <w:kern w:val="2"/>
      <w:sz w:val="32"/>
      <w:szCs w:val="32"/>
      <w:lang w:val="en-US" w:eastAsia="zh-CN" w:bidi="ar-SA"/>
    </w:rPr>
  </w:style>
  <w:style w:type="character" w:customStyle="1" w:styleId="97">
    <w:name w:val="样式 (符号) 宋体 加粗 下划线"/>
    <w:basedOn w:val="48"/>
    <w:autoRedefine/>
    <w:qFormat/>
    <w:uiPriority w:val="0"/>
    <w:rPr>
      <w:b/>
      <w:bCs/>
      <w:u w:val="single"/>
    </w:rPr>
  </w:style>
  <w:style w:type="character" w:customStyle="1" w:styleId="98">
    <w:name w:val="Char Char15"/>
    <w:autoRedefine/>
    <w:qFormat/>
    <w:uiPriority w:val="0"/>
    <w:rPr>
      <w:rFonts w:eastAsia="仿宋"/>
      <w:b/>
      <w:bCs/>
      <w:kern w:val="44"/>
      <w:sz w:val="32"/>
      <w:szCs w:val="32"/>
      <w:lang w:val="en-US" w:eastAsia="zh-CN" w:bidi="ar-SA"/>
    </w:rPr>
  </w:style>
  <w:style w:type="character" w:customStyle="1" w:styleId="99">
    <w:name w:val="样式 宋体 小四"/>
    <w:basedOn w:val="48"/>
    <w:autoRedefine/>
    <w:qFormat/>
    <w:uiPriority w:val="0"/>
    <w:rPr>
      <w:rFonts w:ascii="宋体" w:hAnsi="宋体"/>
      <w:sz w:val="24"/>
    </w:rPr>
  </w:style>
  <w:style w:type="character" w:customStyle="1" w:styleId="100">
    <w:name w:val="Heading 2 Char"/>
    <w:autoRedefine/>
    <w:qFormat/>
    <w:uiPriority w:val="0"/>
    <w:rPr>
      <w:rFonts w:eastAsia="仿宋"/>
      <w:b/>
      <w:bCs/>
      <w:kern w:val="44"/>
      <w:sz w:val="32"/>
      <w:szCs w:val="32"/>
      <w:lang w:val="en-US" w:eastAsia="zh-CN" w:bidi="ar-SA"/>
    </w:rPr>
  </w:style>
  <w:style w:type="character" w:customStyle="1" w:styleId="101">
    <w:name w:val="表格字 Char"/>
    <w:link w:val="93"/>
    <w:autoRedefine/>
    <w:qFormat/>
    <w:uiPriority w:val="0"/>
    <w:rPr>
      <w:rFonts w:eastAsia="Times New Roman"/>
      <w:szCs w:val="21"/>
    </w:rPr>
  </w:style>
  <w:style w:type="character" w:customStyle="1" w:styleId="102">
    <w:name w:val="强调1"/>
    <w:autoRedefine/>
    <w:qFormat/>
    <w:uiPriority w:val="0"/>
    <w:rPr>
      <w:rFonts w:ascii="Arial Black" w:hAnsi="Arial Black" w:eastAsia="宋体"/>
      <w:sz w:val="18"/>
    </w:rPr>
  </w:style>
  <w:style w:type="character" w:customStyle="1" w:styleId="103">
    <w:name w:val="unnamed61"/>
    <w:autoRedefine/>
    <w:qFormat/>
    <w:uiPriority w:val="0"/>
    <w:rPr>
      <w:sz w:val="20"/>
      <w:szCs w:val="20"/>
      <w:u w:val="none"/>
    </w:rPr>
  </w:style>
  <w:style w:type="character" w:customStyle="1" w:styleId="104">
    <w:name w:val="副标题 Char"/>
    <w:autoRedefine/>
    <w:qFormat/>
    <w:uiPriority w:val="0"/>
    <w:rPr>
      <w:rFonts w:eastAsia="幼圆"/>
      <w:b/>
      <w:bCs/>
      <w:sz w:val="28"/>
      <w:szCs w:val="28"/>
    </w:rPr>
  </w:style>
  <w:style w:type="character" w:customStyle="1" w:styleId="105">
    <w:name w:val="c lh15"/>
    <w:basedOn w:val="48"/>
    <w:autoRedefine/>
    <w:qFormat/>
    <w:uiPriority w:val="0"/>
  </w:style>
  <w:style w:type="character" w:customStyle="1" w:styleId="106">
    <w:name w:val="白皮书 标题4 Char Char"/>
    <w:link w:val="107"/>
    <w:autoRedefine/>
    <w:qFormat/>
    <w:uiPriority w:val="0"/>
    <w:rPr>
      <w:rFonts w:ascii="Arial" w:hAnsi="Arial" w:eastAsia="宋体"/>
      <w:b/>
      <w:bCs/>
      <w:sz w:val="28"/>
      <w:szCs w:val="28"/>
    </w:rPr>
  </w:style>
  <w:style w:type="paragraph" w:customStyle="1" w:styleId="107">
    <w:name w:val="白皮书 标题4"/>
    <w:basedOn w:val="1"/>
    <w:link w:val="106"/>
    <w:autoRedefine/>
    <w:qFormat/>
    <w:uiPriority w:val="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108">
    <w:name w:val="px14"/>
    <w:basedOn w:val="48"/>
    <w:autoRedefine/>
    <w:qFormat/>
    <w:uiPriority w:val="0"/>
  </w:style>
  <w:style w:type="character" w:customStyle="1" w:styleId="109">
    <w:name w:val="Normal Indent Char Char"/>
    <w:autoRedefine/>
    <w:qFormat/>
    <w:uiPriority w:val="0"/>
    <w:rPr>
      <w:rFonts w:eastAsia="宋体"/>
      <w:sz w:val="24"/>
      <w:szCs w:val="24"/>
      <w:lang w:val="en-US" w:eastAsia="zh-CN" w:bidi="ar-SA"/>
    </w:rPr>
  </w:style>
  <w:style w:type="character" w:customStyle="1" w:styleId="110">
    <w:name w:val="标题1"/>
    <w:basedOn w:val="48"/>
    <w:autoRedefine/>
    <w:qFormat/>
    <w:uiPriority w:val="0"/>
  </w:style>
  <w:style w:type="character" w:customStyle="1" w:styleId="111">
    <w:name w:val="Heading 3 Char"/>
    <w:autoRedefine/>
    <w:qFormat/>
    <w:uiPriority w:val="0"/>
    <w:rPr>
      <w:rFonts w:eastAsia="仿宋"/>
      <w:b/>
      <w:bCs/>
      <w:kern w:val="44"/>
      <w:sz w:val="32"/>
      <w:szCs w:val="32"/>
      <w:lang w:val="en-US" w:eastAsia="zh-CN" w:bidi="ar-SA"/>
    </w:rPr>
  </w:style>
  <w:style w:type="character" w:customStyle="1" w:styleId="112">
    <w:name w:val="apple-style-span"/>
    <w:basedOn w:val="48"/>
    <w:autoRedefine/>
    <w:qFormat/>
    <w:uiPriority w:val="0"/>
  </w:style>
  <w:style w:type="character" w:customStyle="1" w:styleId="113">
    <w:name w:val="Char Char12"/>
    <w:autoRedefine/>
    <w:qFormat/>
    <w:uiPriority w:val="0"/>
    <w:rPr>
      <w:rFonts w:eastAsia="仿宋"/>
      <w:b/>
      <w:bCs/>
      <w:kern w:val="44"/>
      <w:sz w:val="32"/>
      <w:szCs w:val="32"/>
      <w:lang w:val="en-US" w:eastAsia="zh-CN" w:bidi="ar-SA"/>
    </w:rPr>
  </w:style>
  <w:style w:type="character" w:customStyle="1" w:styleId="114">
    <w:name w:val="Char Char16"/>
    <w:autoRedefine/>
    <w:qFormat/>
    <w:uiPriority w:val="0"/>
    <w:rPr>
      <w:rFonts w:eastAsia="仿宋"/>
      <w:b/>
      <w:bCs/>
      <w:kern w:val="44"/>
      <w:sz w:val="32"/>
      <w:szCs w:val="32"/>
      <w:lang w:val="en-US" w:eastAsia="zh-CN" w:bidi="ar-SA"/>
    </w:rPr>
  </w:style>
  <w:style w:type="character" w:customStyle="1" w:styleId="115">
    <w:name w:val="表哥标题居左 Char"/>
    <w:link w:val="116"/>
    <w:autoRedefine/>
    <w:qFormat/>
    <w:uiPriority w:val="0"/>
    <w:rPr>
      <w:b/>
      <w:bCs/>
      <w:szCs w:val="21"/>
    </w:rPr>
  </w:style>
  <w:style w:type="paragraph" w:customStyle="1" w:styleId="116">
    <w:name w:val="表哥标题居左"/>
    <w:basedOn w:val="117"/>
    <w:link w:val="115"/>
    <w:autoRedefine/>
    <w:qFormat/>
    <w:uiPriority w:val="0"/>
    <w:pPr>
      <w:widowControl/>
      <w:jc w:val="left"/>
    </w:pPr>
    <w:rPr>
      <w:rFonts w:eastAsiaTheme="minorEastAsia"/>
      <w:bCs/>
      <w:kern w:val="2"/>
      <w:sz w:val="21"/>
    </w:rPr>
  </w:style>
  <w:style w:type="paragraph" w:customStyle="1" w:styleId="117">
    <w:name w:val="表格标题"/>
    <w:basedOn w:val="118"/>
    <w:next w:val="118"/>
    <w:link w:val="143"/>
    <w:autoRedefine/>
    <w:qFormat/>
    <w:uiPriority w:val="0"/>
    <w:pPr>
      <w:jc w:val="center"/>
    </w:pPr>
    <w:rPr>
      <w:rFonts w:asciiTheme="minorHAnsi" w:hAnsiTheme="minorHAnsi" w:cstheme="minorBidi"/>
      <w:b/>
      <w:sz w:val="24"/>
    </w:rPr>
  </w:style>
  <w:style w:type="paragraph" w:customStyle="1" w:styleId="118">
    <w:name w:val="表格文字"/>
    <w:basedOn w:val="1"/>
    <w:autoRedefine/>
    <w:qFormat/>
    <w:uiPriority w:val="0"/>
    <w:pPr>
      <w:widowControl w:val="0"/>
    </w:pPr>
    <w:rPr>
      <w:kern w:val="21"/>
      <w:szCs w:val="21"/>
    </w:rPr>
  </w:style>
  <w:style w:type="character" w:customStyle="1" w:styleId="119">
    <w:name w:val="normalpara"/>
    <w:basedOn w:val="48"/>
    <w:autoRedefine/>
    <w:qFormat/>
    <w:uiPriority w:val="0"/>
  </w:style>
  <w:style w:type="character" w:customStyle="1" w:styleId="120">
    <w:name w:val="small"/>
    <w:basedOn w:val="48"/>
    <w:autoRedefine/>
    <w:qFormat/>
    <w:uiPriority w:val="0"/>
  </w:style>
  <w:style w:type="character" w:customStyle="1" w:styleId="121">
    <w:name w:val="Char Char17"/>
    <w:autoRedefine/>
    <w:qFormat/>
    <w:uiPriority w:val="0"/>
    <w:rPr>
      <w:rFonts w:eastAsia="宋体"/>
      <w:sz w:val="21"/>
      <w:lang w:val="en-US" w:eastAsia="zh-CN" w:bidi="ar-SA"/>
    </w:rPr>
  </w:style>
  <w:style w:type="character" w:customStyle="1" w:styleId="122">
    <w:name w:val="QB正文 Char Char"/>
    <w:link w:val="123"/>
    <w:autoRedefine/>
    <w:qFormat/>
    <w:uiPriority w:val="0"/>
    <w:rPr>
      <w:rFonts w:ascii="宋体" w:eastAsia="宋体"/>
      <w:lang w:val="en-US" w:eastAsia="zh-CN"/>
    </w:rPr>
  </w:style>
  <w:style w:type="paragraph" w:customStyle="1" w:styleId="123">
    <w:name w:val="QB正文"/>
    <w:basedOn w:val="1"/>
    <w:link w:val="122"/>
    <w:autoRedefine/>
    <w:qFormat/>
    <w:uiPriority w:val="0"/>
    <w:pPr>
      <w:autoSpaceDE w:val="0"/>
      <w:autoSpaceDN w:val="0"/>
      <w:ind w:firstLine="200" w:firstLineChars="200"/>
      <w:jc w:val="both"/>
    </w:pPr>
    <w:rPr>
      <w:rFonts w:ascii="宋体" w:hAnsiTheme="minorHAnsi" w:cstheme="minorBidi"/>
      <w:kern w:val="2"/>
      <w:szCs w:val="22"/>
    </w:rPr>
  </w:style>
  <w:style w:type="character" w:customStyle="1" w:styleId="124">
    <w:name w:val="Char Char21"/>
    <w:autoRedefine/>
    <w:qFormat/>
    <w:uiPriority w:val="0"/>
    <w:rPr>
      <w:rFonts w:eastAsia="宋体"/>
      <w:b/>
      <w:bCs/>
      <w:kern w:val="2"/>
      <w:sz w:val="32"/>
      <w:szCs w:val="32"/>
      <w:lang w:val="en-US" w:eastAsia="zh-CN" w:bidi="ar-SA"/>
    </w:rPr>
  </w:style>
  <w:style w:type="character" w:customStyle="1" w:styleId="125">
    <w:name w:val="正文粗体 Char"/>
    <w:link w:val="126"/>
    <w:autoRedefine/>
    <w:qFormat/>
    <w:uiPriority w:val="0"/>
    <w:rPr>
      <w:rFonts w:eastAsia="仿宋"/>
      <w:b/>
      <w:bCs/>
      <w:sz w:val="32"/>
      <w:szCs w:val="32"/>
    </w:rPr>
  </w:style>
  <w:style w:type="paragraph" w:customStyle="1" w:styleId="126">
    <w:name w:val="正文粗体"/>
    <w:basedOn w:val="1"/>
    <w:link w:val="125"/>
    <w:autoRedefine/>
    <w:qFormat/>
    <w:uiPriority w:val="0"/>
    <w:pPr>
      <w:widowControl w:val="0"/>
      <w:spacing w:line="360" w:lineRule="auto"/>
      <w:ind w:firstLine="560" w:firstLineChars="200"/>
    </w:pPr>
    <w:rPr>
      <w:rFonts w:eastAsia="仿宋" w:asciiTheme="minorHAnsi" w:hAnsiTheme="minorHAnsi" w:cstheme="minorBidi"/>
      <w:b/>
      <w:bCs/>
      <w:kern w:val="2"/>
      <w:sz w:val="32"/>
      <w:szCs w:val="32"/>
    </w:rPr>
  </w:style>
  <w:style w:type="character" w:customStyle="1" w:styleId="127">
    <w:name w:val="Char Char14"/>
    <w:autoRedefine/>
    <w:qFormat/>
    <w:uiPriority w:val="0"/>
    <w:rPr>
      <w:rFonts w:eastAsia="仿宋"/>
      <w:b/>
      <w:bCs/>
      <w:kern w:val="44"/>
      <w:sz w:val="32"/>
      <w:szCs w:val="32"/>
      <w:lang w:val="en-US" w:eastAsia="zh-CN" w:bidi="ar-SA"/>
    </w:rPr>
  </w:style>
  <w:style w:type="character" w:customStyle="1" w:styleId="128">
    <w:name w:val="clh15"/>
    <w:basedOn w:val="48"/>
    <w:autoRedefine/>
    <w:qFormat/>
    <w:uiPriority w:val="0"/>
  </w:style>
  <w:style w:type="character" w:customStyle="1" w:styleId="129">
    <w:name w:val="样式 仿宋_GB2312 四号"/>
    <w:autoRedefine/>
    <w:qFormat/>
    <w:uiPriority w:val="0"/>
    <w:rPr>
      <w:rFonts w:ascii="仿宋_GB2312" w:hAnsi="仿宋_GB2312" w:eastAsia="仿宋_GB2312"/>
      <w:kern w:val="0"/>
      <w:sz w:val="28"/>
    </w:rPr>
  </w:style>
  <w:style w:type="character" w:customStyle="1" w:styleId="130">
    <w:name w:val="批注主题 Char"/>
    <w:basedOn w:val="88"/>
    <w:autoRedefine/>
    <w:qFormat/>
    <w:uiPriority w:val="0"/>
    <w:rPr>
      <w:rFonts w:ascii="宋体" w:eastAsia="宋体"/>
      <w:b/>
      <w:bCs/>
      <w:sz w:val="34"/>
      <w:szCs w:val="24"/>
      <w:lang w:val="en-US" w:eastAsia="zh-CN" w:bidi="ar-SA"/>
    </w:rPr>
  </w:style>
  <w:style w:type="character" w:customStyle="1" w:styleId="131">
    <w:name w:val="textcontents"/>
    <w:autoRedefine/>
    <w:qFormat/>
    <w:uiPriority w:val="0"/>
    <w:rPr>
      <w:rFonts w:cs="Times New Roman"/>
    </w:rPr>
  </w:style>
  <w:style w:type="character" w:customStyle="1" w:styleId="132">
    <w:name w:val="Char Char Char Char Char Char Char Char Char"/>
    <w:basedOn w:val="90"/>
    <w:link w:val="133"/>
    <w:autoRedefine/>
    <w:qFormat/>
    <w:uiPriority w:val="0"/>
    <w:rPr>
      <w:rFonts w:ascii="Tahoma" w:hAnsi="Tahoma" w:eastAsia="宋体"/>
      <w:sz w:val="24"/>
      <w:szCs w:val="24"/>
      <w:shd w:val="clear" w:color="auto" w:fill="000080"/>
    </w:rPr>
  </w:style>
  <w:style w:type="paragraph" w:customStyle="1" w:styleId="133">
    <w:name w:val="Char Char Char Char Char Char Char"/>
    <w:basedOn w:val="16"/>
    <w:link w:val="132"/>
    <w:autoRedefine/>
    <w:qFormat/>
    <w:uiPriority w:val="0"/>
    <w:pPr>
      <w:widowControl w:val="0"/>
      <w:jc w:val="both"/>
    </w:pPr>
    <w:rPr>
      <w:rFonts w:ascii="Tahoma" w:hAnsi="Tahoma"/>
      <w:sz w:val="24"/>
      <w:szCs w:val="24"/>
    </w:rPr>
  </w:style>
  <w:style w:type="character" w:customStyle="1" w:styleId="134">
    <w:name w:val="批注框文本 Char"/>
    <w:autoRedefine/>
    <w:qFormat/>
    <w:uiPriority w:val="0"/>
    <w:rPr>
      <w:rFonts w:eastAsia="宋体"/>
      <w:sz w:val="18"/>
      <w:szCs w:val="18"/>
    </w:rPr>
  </w:style>
  <w:style w:type="character" w:customStyle="1" w:styleId="135">
    <w:name w:val="标准正文 Char"/>
    <w:link w:val="136"/>
    <w:autoRedefine/>
    <w:qFormat/>
    <w:uiPriority w:val="0"/>
    <w:rPr>
      <w:rFonts w:eastAsia="楷体_GB2312"/>
      <w:sz w:val="28"/>
    </w:rPr>
  </w:style>
  <w:style w:type="paragraph" w:customStyle="1" w:styleId="136">
    <w:name w:val="标准正文"/>
    <w:basedOn w:val="1"/>
    <w:link w:val="135"/>
    <w:autoRedefine/>
    <w:qFormat/>
    <w:uiPriority w:val="0"/>
    <w:pPr>
      <w:widowControl w:val="0"/>
      <w:spacing w:before="120" w:line="400" w:lineRule="atLeast"/>
      <w:ind w:left="899" w:hanging="310" w:hangingChars="310"/>
      <w:textAlignment w:val="baseline"/>
    </w:pPr>
    <w:rPr>
      <w:rFonts w:eastAsia="楷体_GB2312" w:asciiTheme="minorHAnsi" w:hAnsiTheme="minorHAnsi" w:cstheme="minorBidi"/>
      <w:kern w:val="2"/>
      <w:sz w:val="28"/>
      <w:szCs w:val="22"/>
    </w:rPr>
  </w:style>
  <w:style w:type="character" w:customStyle="1" w:styleId="137">
    <w:name w:val="ec_mean"/>
    <w:basedOn w:val="48"/>
    <w:autoRedefine/>
    <w:qFormat/>
    <w:uiPriority w:val="0"/>
  </w:style>
  <w:style w:type="character" w:customStyle="1" w:styleId="138">
    <w:name w:val="正文（首行缩进2字符） Char"/>
    <w:link w:val="139"/>
    <w:autoRedefine/>
    <w:qFormat/>
    <w:uiPriority w:val="0"/>
    <w:rPr>
      <w:rFonts w:eastAsia="宋体"/>
      <w:sz w:val="22"/>
    </w:rPr>
  </w:style>
  <w:style w:type="paragraph" w:customStyle="1" w:styleId="139">
    <w:name w:val="正文（首行缩进2字符）"/>
    <w:basedOn w:val="1"/>
    <w:link w:val="138"/>
    <w:autoRedefine/>
    <w:qFormat/>
    <w:uiPriority w:val="0"/>
    <w:pPr>
      <w:widowControl w:val="0"/>
      <w:spacing w:line="300" w:lineRule="auto"/>
      <w:ind w:firstLine="440" w:firstLineChars="200"/>
      <w:jc w:val="both"/>
    </w:pPr>
    <w:rPr>
      <w:rFonts w:asciiTheme="minorHAnsi" w:hAnsiTheme="minorHAnsi" w:cstheme="minorBidi"/>
      <w:kern w:val="2"/>
      <w:sz w:val="22"/>
      <w:szCs w:val="22"/>
    </w:rPr>
  </w:style>
  <w:style w:type="character" w:customStyle="1" w:styleId="140">
    <w:name w:val="公文正文 Char Char"/>
    <w:link w:val="141"/>
    <w:autoRedefine/>
    <w:qFormat/>
    <w:uiPriority w:val="0"/>
    <w:rPr>
      <w:rFonts w:eastAsia="Times New Roman"/>
      <w:sz w:val="22"/>
    </w:rPr>
  </w:style>
  <w:style w:type="paragraph" w:customStyle="1" w:styleId="141">
    <w:name w:val="公文正文"/>
    <w:next w:val="31"/>
    <w:link w:val="140"/>
    <w:autoRedefine/>
    <w:qFormat/>
    <w:uiPriority w:val="0"/>
    <w:rPr>
      <w:rFonts w:eastAsia="Times New Roman" w:asciiTheme="minorHAnsi" w:hAnsiTheme="minorHAnsi" w:cstheme="minorBidi"/>
      <w:kern w:val="2"/>
      <w:sz w:val="22"/>
      <w:szCs w:val="22"/>
      <w:lang w:val="en-US" w:eastAsia="zh-CN" w:bidi="ar-SA"/>
    </w:rPr>
  </w:style>
  <w:style w:type="character" w:customStyle="1" w:styleId="142">
    <w:name w:val="f12"/>
    <w:basedOn w:val="48"/>
    <w:autoRedefine/>
    <w:qFormat/>
    <w:uiPriority w:val="0"/>
  </w:style>
  <w:style w:type="character" w:customStyle="1" w:styleId="143">
    <w:name w:val="表格标题 Char"/>
    <w:link w:val="117"/>
    <w:autoRedefine/>
    <w:qFormat/>
    <w:uiPriority w:val="0"/>
    <w:rPr>
      <w:rFonts w:eastAsia="宋体"/>
      <w:b/>
      <w:kern w:val="21"/>
      <w:sz w:val="24"/>
      <w:szCs w:val="21"/>
    </w:rPr>
  </w:style>
  <w:style w:type="character" w:customStyle="1" w:styleId="144">
    <w:name w:val="白皮书 正文 Char Char"/>
    <w:link w:val="145"/>
    <w:autoRedefine/>
    <w:qFormat/>
    <w:uiPriority w:val="0"/>
    <w:rPr>
      <w:rFonts w:ascii="宋体" w:hAnsi="Calibri" w:eastAsia="宋体"/>
      <w:sz w:val="24"/>
    </w:rPr>
  </w:style>
  <w:style w:type="paragraph" w:customStyle="1" w:styleId="145">
    <w:name w:val="白皮书 正文"/>
    <w:basedOn w:val="1"/>
    <w:link w:val="144"/>
    <w:autoRedefine/>
    <w:qFormat/>
    <w:uiPriority w:val="0"/>
    <w:pPr>
      <w:widowControl w:val="0"/>
      <w:spacing w:beforeLines="50" w:afterLines="50" w:line="360" w:lineRule="auto"/>
      <w:ind w:firstLine="480" w:firstLineChars="200"/>
      <w:jc w:val="both"/>
    </w:pPr>
    <w:rPr>
      <w:rFonts w:ascii="宋体" w:hAnsi="Calibri" w:cstheme="minorBidi"/>
      <w:kern w:val="2"/>
      <w:sz w:val="24"/>
      <w:szCs w:val="22"/>
    </w:rPr>
  </w:style>
  <w:style w:type="character" w:customStyle="1" w:styleId="146">
    <w:name w:val="Char Char20"/>
    <w:autoRedefine/>
    <w:qFormat/>
    <w:uiPriority w:val="0"/>
    <w:rPr>
      <w:rFonts w:ascii="Arial" w:hAnsi="Arial" w:eastAsia="黑体"/>
      <w:b/>
      <w:bCs/>
      <w:kern w:val="2"/>
      <w:sz w:val="28"/>
      <w:szCs w:val="28"/>
      <w:lang w:val="en-US" w:eastAsia="zh-CN" w:bidi="ar-SA"/>
    </w:rPr>
  </w:style>
  <w:style w:type="character" w:customStyle="1" w:styleId="147">
    <w:name w:val="白皮书 序号1 Char Char"/>
    <w:link w:val="148"/>
    <w:autoRedefine/>
    <w:qFormat/>
    <w:uiPriority w:val="0"/>
    <w:rPr>
      <w:rFonts w:ascii="宋体" w:hAnsi="宋体" w:eastAsia="宋体"/>
      <w:b/>
      <w:sz w:val="24"/>
    </w:rPr>
  </w:style>
  <w:style w:type="paragraph" w:customStyle="1" w:styleId="148">
    <w:name w:val="白皮书 序号1"/>
    <w:basedOn w:val="1"/>
    <w:link w:val="147"/>
    <w:autoRedefine/>
    <w:qFormat/>
    <w:uiPriority w:val="0"/>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149">
    <w:name w:val="!标题3 Ctrl+3 Char Char"/>
    <w:link w:val="150"/>
    <w:autoRedefine/>
    <w:qFormat/>
    <w:uiPriority w:val="0"/>
    <w:rPr>
      <w:rFonts w:ascii="宋体" w:hAnsi="宋体" w:eastAsia="宋体"/>
      <w:b/>
      <w:bCs/>
      <w:sz w:val="28"/>
      <w:szCs w:val="28"/>
    </w:rPr>
  </w:style>
  <w:style w:type="paragraph" w:customStyle="1" w:styleId="150">
    <w:name w:val="!标题3 Ctrl+3"/>
    <w:basedOn w:val="4"/>
    <w:next w:val="1"/>
    <w:link w:val="149"/>
    <w:autoRedefine/>
    <w:qFormat/>
    <w:uiPriority w:val="0"/>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151">
    <w:name w:val="签名 Char"/>
    <w:autoRedefine/>
    <w:qFormat/>
    <w:uiPriority w:val="0"/>
    <w:rPr>
      <w:rFonts w:eastAsia="宋体"/>
      <w:szCs w:val="21"/>
    </w:rPr>
  </w:style>
  <w:style w:type="character" w:customStyle="1" w:styleId="152">
    <w:name w:val="Char Char2"/>
    <w:autoRedefine/>
    <w:qFormat/>
    <w:uiPriority w:val="0"/>
    <w:rPr>
      <w:rFonts w:ascii="宋体" w:hAnsi="Courier New" w:eastAsia="宋体" w:cs="Courier New"/>
      <w:kern w:val="2"/>
      <w:sz w:val="21"/>
      <w:szCs w:val="21"/>
      <w:lang w:val="en-US" w:eastAsia="zh-CN" w:bidi="ar-SA"/>
    </w:rPr>
  </w:style>
  <w:style w:type="character" w:customStyle="1" w:styleId="153">
    <w:name w:val="bord3"/>
    <w:autoRedefine/>
    <w:qFormat/>
    <w:uiPriority w:val="0"/>
    <w:rPr>
      <w:rFonts w:cs="Times New Roman"/>
    </w:rPr>
  </w:style>
  <w:style w:type="character" w:customStyle="1" w:styleId="154">
    <w:name w:val="Char Char6"/>
    <w:autoRedefine/>
    <w:qFormat/>
    <w:uiPriority w:val="0"/>
    <w:rPr>
      <w:rFonts w:ascii="宋体" w:eastAsia="宋体"/>
      <w:sz w:val="18"/>
      <w:szCs w:val="18"/>
      <w:lang w:val="en-US" w:eastAsia="zh-CN" w:bidi="ar-SA"/>
    </w:rPr>
  </w:style>
  <w:style w:type="character" w:customStyle="1" w:styleId="155">
    <w:name w:val="正文文本 Char"/>
    <w:autoRedefine/>
    <w:qFormat/>
    <w:uiPriority w:val="0"/>
    <w:rPr>
      <w:rFonts w:eastAsia="宋体"/>
    </w:rPr>
  </w:style>
  <w:style w:type="character" w:customStyle="1" w:styleId="156">
    <w:name w:val=". (a.) Char"/>
    <w:link w:val="157"/>
    <w:autoRedefine/>
    <w:qFormat/>
    <w:uiPriority w:val="0"/>
    <w:rPr>
      <w:rFonts w:ascii="Cambria" w:hAnsi="Cambria" w:eastAsia="宋体"/>
      <w:b/>
      <w:sz w:val="24"/>
    </w:rPr>
  </w:style>
  <w:style w:type="paragraph" w:customStyle="1" w:styleId="157">
    <w:name w:val="标题 61"/>
    <w:basedOn w:val="1"/>
    <w:next w:val="1"/>
    <w:link w:val="156"/>
    <w:autoRedefine/>
    <w:qFormat/>
    <w:uiPriority w:val="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158">
    <w:name w:val="正文内容 Char Char"/>
    <w:basedOn w:val="48"/>
    <w:link w:val="159"/>
    <w:autoRedefine/>
    <w:qFormat/>
    <w:uiPriority w:val="0"/>
    <w:rPr>
      <w:rFonts w:eastAsia="宋体"/>
      <w:sz w:val="24"/>
    </w:rPr>
  </w:style>
  <w:style w:type="paragraph" w:customStyle="1" w:styleId="159">
    <w:name w:val="正文内容"/>
    <w:basedOn w:val="1"/>
    <w:link w:val="158"/>
    <w:autoRedefine/>
    <w:qFormat/>
    <w:uiPriority w:val="0"/>
    <w:pPr>
      <w:widowControl w:val="0"/>
      <w:spacing w:beforeLines="50" w:afterLines="50" w:line="360" w:lineRule="auto"/>
      <w:ind w:firstLine="480" w:firstLineChars="200"/>
      <w:jc w:val="both"/>
    </w:pPr>
    <w:rPr>
      <w:rFonts w:asciiTheme="minorHAnsi" w:hAnsiTheme="minorHAnsi" w:cstheme="minorBidi"/>
      <w:kern w:val="2"/>
      <w:sz w:val="24"/>
      <w:szCs w:val="22"/>
    </w:rPr>
  </w:style>
  <w:style w:type="character" w:customStyle="1" w:styleId="160">
    <w:name w:val="Char Char13"/>
    <w:autoRedefine/>
    <w:qFormat/>
    <w:uiPriority w:val="0"/>
    <w:rPr>
      <w:rFonts w:eastAsia="仿宋"/>
      <w:b/>
      <w:bCs/>
      <w:kern w:val="44"/>
      <w:sz w:val="32"/>
      <w:szCs w:val="32"/>
      <w:lang w:val="en-US" w:eastAsia="zh-CN" w:bidi="ar-SA"/>
    </w:rPr>
  </w:style>
  <w:style w:type="paragraph" w:customStyle="1" w:styleId="161">
    <w:name w:val="黑体标题"/>
    <w:basedOn w:val="1"/>
    <w:autoRedefine/>
    <w:qFormat/>
    <w:uiPriority w:val="0"/>
    <w:pPr>
      <w:widowControl w:val="0"/>
      <w:ind w:firstLine="200" w:firstLineChars="200"/>
      <w:jc w:val="both"/>
    </w:pPr>
    <w:rPr>
      <w:rFonts w:eastAsia="黑体"/>
      <w:b/>
      <w:kern w:val="2"/>
    </w:rPr>
  </w:style>
  <w:style w:type="character" w:customStyle="1" w:styleId="162">
    <w:name w:val="信息标题 Char"/>
    <w:basedOn w:val="48"/>
    <w:link w:val="40"/>
    <w:autoRedefine/>
    <w:qFormat/>
    <w:uiPriority w:val="0"/>
    <w:rPr>
      <w:rFonts w:ascii="Arial" w:hAnsi="Arial" w:eastAsia="宋体"/>
      <w:spacing w:val="-5"/>
      <w:sz w:val="20"/>
    </w:rPr>
  </w:style>
  <w:style w:type="character" w:customStyle="1" w:styleId="163">
    <w:name w:val="签名 Char1"/>
    <w:basedOn w:val="48"/>
    <w:link w:val="32"/>
    <w:autoRedefine/>
    <w:semiHidden/>
    <w:qFormat/>
    <w:uiPriority w:val="99"/>
    <w:rPr>
      <w:rFonts w:ascii="Times New Roman" w:hAnsi="Times New Roman" w:eastAsia="宋体" w:cs="Times New Roman"/>
      <w:kern w:val="0"/>
      <w:szCs w:val="20"/>
    </w:rPr>
  </w:style>
  <w:style w:type="paragraph" w:customStyle="1" w:styleId="164">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character" w:customStyle="1" w:styleId="165">
    <w:name w:val="正文文本缩进 2 Char"/>
    <w:basedOn w:val="48"/>
    <w:link w:val="28"/>
    <w:autoRedefine/>
    <w:qFormat/>
    <w:uiPriority w:val="0"/>
    <w:rPr>
      <w:rFonts w:ascii="宋体" w:hAnsi="Times New Roman" w:eastAsia="宋体" w:cs="Times New Roman"/>
      <w:sz w:val="24"/>
      <w:szCs w:val="20"/>
    </w:rPr>
  </w:style>
  <w:style w:type="paragraph" w:customStyle="1" w:styleId="166">
    <w:name w:val="此正文"/>
    <w:basedOn w:val="1"/>
    <w:autoRedefine/>
    <w:qFormat/>
    <w:uiPriority w:val="0"/>
    <w:pPr>
      <w:widowControl w:val="0"/>
      <w:spacing w:line="360" w:lineRule="auto"/>
      <w:ind w:firstLine="200" w:firstLineChars="200"/>
      <w:jc w:val="both"/>
    </w:pPr>
    <w:rPr>
      <w:kern w:val="2"/>
      <w:sz w:val="24"/>
      <w:szCs w:val="24"/>
    </w:rPr>
  </w:style>
  <w:style w:type="character" w:customStyle="1" w:styleId="167">
    <w:name w:val="正文文本缩进 Char1"/>
    <w:basedOn w:val="48"/>
    <w:link w:val="22"/>
    <w:autoRedefine/>
    <w:semiHidden/>
    <w:qFormat/>
    <w:uiPriority w:val="99"/>
    <w:rPr>
      <w:rFonts w:ascii="Times New Roman" w:hAnsi="Times New Roman" w:eastAsia="宋体" w:cs="Times New Roman"/>
      <w:kern w:val="0"/>
      <w:szCs w:val="20"/>
    </w:rPr>
  </w:style>
  <w:style w:type="character" w:customStyle="1" w:styleId="168">
    <w:name w:val="正文文本 3 Char"/>
    <w:basedOn w:val="48"/>
    <w:link w:val="19"/>
    <w:autoRedefine/>
    <w:qFormat/>
    <w:uiPriority w:val="0"/>
    <w:rPr>
      <w:rFonts w:ascii="华康简标题宋" w:hAnsi="Times New Roman" w:eastAsia="华康简标题宋" w:cs="Times New Roman"/>
      <w:bCs/>
      <w:sz w:val="52"/>
      <w:szCs w:val="52"/>
    </w:rPr>
  </w:style>
  <w:style w:type="paragraph" w:customStyle="1" w:styleId="169">
    <w:name w:val="Char1 Char Char Char Char Char Char1"/>
    <w:basedOn w:val="1"/>
    <w:autoRedefine/>
    <w:qFormat/>
    <w:uiPriority w:val="0"/>
    <w:pPr>
      <w:spacing w:after="160" w:line="240" w:lineRule="exact"/>
    </w:pPr>
    <w:rPr>
      <w:rFonts w:ascii="Verdana" w:hAnsi="Verdana"/>
      <w:sz w:val="20"/>
      <w:lang w:eastAsia="en-US"/>
    </w:rPr>
  </w:style>
  <w:style w:type="character" w:customStyle="1" w:styleId="170">
    <w:name w:val="标题 Char"/>
    <w:basedOn w:val="48"/>
    <w:link w:val="43"/>
    <w:autoRedefine/>
    <w:qFormat/>
    <w:uiPriority w:val="0"/>
    <w:rPr>
      <w:rFonts w:ascii="Arial" w:hAnsi="Arial" w:eastAsia="黑体" w:cs="Arial"/>
      <w:b/>
      <w:bCs/>
      <w:sz w:val="48"/>
      <w:szCs w:val="32"/>
    </w:rPr>
  </w:style>
  <w:style w:type="paragraph" w:customStyle="1" w:styleId="171">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rPr>
  </w:style>
  <w:style w:type="character" w:customStyle="1" w:styleId="172">
    <w:name w:val="纯文本 Char1"/>
    <w:basedOn w:val="48"/>
    <w:link w:val="25"/>
    <w:autoRedefine/>
    <w:semiHidden/>
    <w:qFormat/>
    <w:uiPriority w:val="99"/>
    <w:rPr>
      <w:rFonts w:ascii="宋体" w:hAnsi="Courier New" w:eastAsia="宋体" w:cs="Courier New"/>
      <w:kern w:val="0"/>
      <w:szCs w:val="21"/>
    </w:rPr>
  </w:style>
  <w:style w:type="paragraph" w:customStyle="1" w:styleId="173">
    <w:name w:val="xl9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character" w:customStyle="1" w:styleId="174">
    <w:name w:val="批注框文本 Char1"/>
    <w:basedOn w:val="48"/>
    <w:link w:val="29"/>
    <w:autoRedefine/>
    <w:semiHidden/>
    <w:qFormat/>
    <w:uiPriority w:val="99"/>
    <w:rPr>
      <w:rFonts w:ascii="Times New Roman" w:hAnsi="Times New Roman" w:eastAsia="宋体" w:cs="Times New Roman"/>
      <w:kern w:val="0"/>
      <w:sz w:val="18"/>
      <w:szCs w:val="18"/>
    </w:rPr>
  </w:style>
  <w:style w:type="character" w:customStyle="1" w:styleId="175">
    <w:name w:val="批注文字 Char1"/>
    <w:basedOn w:val="48"/>
    <w:link w:val="17"/>
    <w:autoRedefine/>
    <w:semiHidden/>
    <w:qFormat/>
    <w:uiPriority w:val="99"/>
    <w:rPr>
      <w:rFonts w:ascii="Times New Roman" w:hAnsi="Times New Roman" w:eastAsia="宋体" w:cs="Times New Roman"/>
      <w:kern w:val="0"/>
      <w:szCs w:val="20"/>
    </w:rPr>
  </w:style>
  <w:style w:type="character" w:customStyle="1" w:styleId="176">
    <w:name w:val="批注主题 Char1"/>
    <w:basedOn w:val="175"/>
    <w:link w:val="44"/>
    <w:autoRedefine/>
    <w:semiHidden/>
    <w:qFormat/>
    <w:uiPriority w:val="99"/>
    <w:rPr>
      <w:rFonts w:ascii="Times New Roman" w:hAnsi="Times New Roman" w:eastAsia="宋体" w:cs="Times New Roman"/>
      <w:b/>
      <w:bCs/>
      <w:kern w:val="0"/>
      <w:szCs w:val="20"/>
    </w:rPr>
  </w:style>
  <w:style w:type="paragraph" w:customStyle="1" w:styleId="177">
    <w:name w:val="xl100"/>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sz w:val="24"/>
      <w:szCs w:val="24"/>
    </w:rPr>
  </w:style>
  <w:style w:type="character" w:customStyle="1" w:styleId="178">
    <w:name w:val="正文文本缩进 3 Char"/>
    <w:basedOn w:val="48"/>
    <w:link w:val="37"/>
    <w:autoRedefine/>
    <w:qFormat/>
    <w:uiPriority w:val="0"/>
    <w:rPr>
      <w:rFonts w:ascii="Times New Roman" w:hAnsi="Times New Roman" w:eastAsia="宋体" w:cs="Times New Roman"/>
      <w:szCs w:val="24"/>
    </w:rPr>
  </w:style>
  <w:style w:type="character" w:customStyle="1" w:styleId="179">
    <w:name w:val="称呼 Char"/>
    <w:basedOn w:val="48"/>
    <w:link w:val="18"/>
    <w:autoRedefine/>
    <w:qFormat/>
    <w:uiPriority w:val="0"/>
    <w:rPr>
      <w:rFonts w:ascii="Times New Roman" w:hAnsi="Times New Roman" w:eastAsia="宋体" w:cs="Times New Roman"/>
      <w:szCs w:val="24"/>
    </w:rPr>
  </w:style>
  <w:style w:type="character" w:customStyle="1" w:styleId="180">
    <w:name w:val="文档结构图 Char1"/>
    <w:basedOn w:val="48"/>
    <w:link w:val="16"/>
    <w:autoRedefine/>
    <w:semiHidden/>
    <w:qFormat/>
    <w:uiPriority w:val="99"/>
    <w:rPr>
      <w:rFonts w:ascii="宋体" w:hAnsi="Times New Roman" w:eastAsia="宋体" w:cs="Times New Roman"/>
      <w:kern w:val="0"/>
      <w:sz w:val="18"/>
      <w:szCs w:val="18"/>
    </w:rPr>
  </w:style>
  <w:style w:type="character" w:customStyle="1" w:styleId="181">
    <w:name w:val="日期 Char"/>
    <w:basedOn w:val="48"/>
    <w:link w:val="27"/>
    <w:autoRedefine/>
    <w:qFormat/>
    <w:uiPriority w:val="0"/>
    <w:rPr>
      <w:rFonts w:ascii="Times New Roman" w:hAnsi="Times New Roman" w:eastAsia="宋体" w:cs="Times New Roman"/>
      <w:kern w:val="0"/>
      <w:szCs w:val="20"/>
    </w:rPr>
  </w:style>
  <w:style w:type="character" w:customStyle="1" w:styleId="182">
    <w:name w:val="正文文本 Char1"/>
    <w:basedOn w:val="48"/>
    <w:link w:val="20"/>
    <w:autoRedefine/>
    <w:semiHidden/>
    <w:qFormat/>
    <w:uiPriority w:val="99"/>
    <w:rPr>
      <w:rFonts w:ascii="Times New Roman" w:hAnsi="Times New Roman" w:eastAsia="宋体" w:cs="Times New Roman"/>
      <w:kern w:val="0"/>
      <w:szCs w:val="20"/>
    </w:rPr>
  </w:style>
  <w:style w:type="paragraph" w:customStyle="1" w:styleId="183">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character" w:customStyle="1" w:styleId="184">
    <w:name w:val="注释标题 Char"/>
    <w:basedOn w:val="48"/>
    <w:link w:val="12"/>
    <w:autoRedefine/>
    <w:qFormat/>
    <w:uiPriority w:val="0"/>
    <w:rPr>
      <w:rFonts w:ascii="Times New Roman" w:hAnsi="Times New Roman" w:eastAsia="宋体" w:cs="Times New Roman"/>
      <w:szCs w:val="24"/>
    </w:rPr>
  </w:style>
  <w:style w:type="character" w:customStyle="1" w:styleId="185">
    <w:name w:val="HTML 预设格式 Char"/>
    <w:basedOn w:val="48"/>
    <w:link w:val="41"/>
    <w:autoRedefine/>
    <w:qFormat/>
    <w:uiPriority w:val="0"/>
    <w:rPr>
      <w:rFonts w:ascii="宋体" w:hAnsi="宋体" w:eastAsia="宋体" w:cs="宋体"/>
      <w:kern w:val="0"/>
      <w:sz w:val="24"/>
      <w:szCs w:val="24"/>
    </w:rPr>
  </w:style>
  <w:style w:type="paragraph" w:customStyle="1" w:styleId="186">
    <w:name w:val="xl166"/>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187">
    <w:name w:val="正文首行缩进 Char"/>
    <w:basedOn w:val="182"/>
    <w:link w:val="45"/>
    <w:autoRedefine/>
    <w:qFormat/>
    <w:uiPriority w:val="0"/>
    <w:rPr>
      <w:rFonts w:ascii="Times New Roman" w:hAnsi="Times New Roman" w:eastAsia="宋体" w:cs="Times New Roman"/>
      <w:kern w:val="0"/>
      <w:sz w:val="24"/>
      <w:szCs w:val="44"/>
    </w:rPr>
  </w:style>
  <w:style w:type="character" w:customStyle="1" w:styleId="188">
    <w:name w:val="正文文本 2 Char"/>
    <w:basedOn w:val="48"/>
    <w:link w:val="21"/>
    <w:autoRedefine/>
    <w:qFormat/>
    <w:uiPriority w:val="0"/>
    <w:rPr>
      <w:rFonts w:ascii="仿宋_GB2312" w:hAnsi="Times New Roman" w:eastAsia="仿宋_GB2312" w:cs="Times New Roman"/>
      <w:sz w:val="24"/>
      <w:szCs w:val="24"/>
    </w:rPr>
  </w:style>
  <w:style w:type="character" w:customStyle="1" w:styleId="189">
    <w:name w:val="副标题 Char1"/>
    <w:basedOn w:val="48"/>
    <w:link w:val="35"/>
    <w:autoRedefine/>
    <w:qFormat/>
    <w:uiPriority w:val="11"/>
    <w:rPr>
      <w:rFonts w:eastAsia="宋体" w:asciiTheme="majorHAnsi" w:hAnsiTheme="majorHAnsi" w:cstheme="majorBidi"/>
      <w:b/>
      <w:bCs/>
      <w:kern w:val="28"/>
      <w:sz w:val="32"/>
      <w:szCs w:val="32"/>
    </w:rPr>
  </w:style>
  <w:style w:type="paragraph" w:customStyle="1" w:styleId="190">
    <w:name w:val="xl1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191">
    <w:name w:val="(文字) (文字)"/>
    <w:basedOn w:val="1"/>
    <w:autoRedefine/>
    <w:qFormat/>
    <w:uiPriority w:val="0"/>
    <w:pPr>
      <w:widowControl w:val="0"/>
      <w:tabs>
        <w:tab w:val="left" w:pos="360"/>
      </w:tabs>
      <w:jc w:val="both"/>
    </w:pPr>
    <w:rPr>
      <w:kern w:val="2"/>
      <w:sz w:val="24"/>
      <w:szCs w:val="24"/>
    </w:rPr>
  </w:style>
  <w:style w:type="paragraph" w:customStyle="1" w:styleId="192">
    <w:name w:val="小标题"/>
    <w:basedOn w:val="1"/>
    <w:next w:val="13"/>
    <w:autoRedefine/>
    <w:qFormat/>
    <w:uiPriority w:val="0"/>
    <w:pPr>
      <w:widowControl w:val="0"/>
      <w:tabs>
        <w:tab w:val="left" w:pos="420"/>
      </w:tabs>
      <w:spacing w:beforeLines="25" w:afterLines="25"/>
      <w:ind w:left="200" w:hanging="200" w:hangingChars="200"/>
      <w:jc w:val="both"/>
    </w:pPr>
    <w:rPr>
      <w:rFonts w:ascii="Arial" w:hAnsi="Arial" w:eastAsia="黑体"/>
      <w:b/>
      <w:kern w:val="2"/>
      <w:sz w:val="28"/>
      <w:szCs w:val="24"/>
    </w:rPr>
  </w:style>
  <w:style w:type="paragraph" w:customStyle="1" w:styleId="193">
    <w:name w:val="xl77"/>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textAlignment w:val="center"/>
    </w:pPr>
    <w:rPr>
      <w:b/>
      <w:bCs/>
      <w:sz w:val="24"/>
      <w:szCs w:val="24"/>
    </w:rPr>
  </w:style>
  <w:style w:type="paragraph" w:customStyle="1" w:styleId="194">
    <w:name w:val="题注4"/>
    <w:basedOn w:val="1"/>
    <w:next w:val="14"/>
    <w:autoRedefine/>
    <w:qFormat/>
    <w:uiPriority w:val="0"/>
    <w:pPr>
      <w:widowControl w:val="0"/>
      <w:ind w:left="-132" w:leftChars="-64" w:right="-105" w:rightChars="-50" w:hanging="2"/>
      <w:jc w:val="center"/>
    </w:pPr>
    <w:rPr>
      <w:b/>
      <w:color w:val="FF0000"/>
      <w:kern w:val="2"/>
      <w:szCs w:val="21"/>
      <w:lang w:val="en-GB"/>
    </w:rPr>
  </w:style>
  <w:style w:type="paragraph" w:customStyle="1" w:styleId="195">
    <w:name w:val="xl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196">
    <w:name w:val="xl3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97">
    <w:name w:val="Char2 Char Char Char Char Char Char"/>
    <w:basedOn w:val="1"/>
    <w:autoRedefine/>
    <w:qFormat/>
    <w:uiPriority w:val="0"/>
    <w:pPr>
      <w:widowControl w:val="0"/>
      <w:jc w:val="both"/>
    </w:pPr>
    <w:rPr>
      <w:rFonts w:ascii="Tahoma" w:hAnsi="Tahoma"/>
      <w:kern w:val="2"/>
      <w:sz w:val="24"/>
    </w:rPr>
  </w:style>
  <w:style w:type="paragraph" w:customStyle="1" w:styleId="198">
    <w:name w:val="xl1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199">
    <w:name w:val="xl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0">
    <w:name w:val="font21"/>
    <w:basedOn w:val="1"/>
    <w:autoRedefine/>
    <w:qFormat/>
    <w:uiPriority w:val="0"/>
    <w:pPr>
      <w:spacing w:before="100" w:beforeAutospacing="1" w:after="100" w:afterAutospacing="1"/>
    </w:pPr>
    <w:rPr>
      <w:color w:val="FF0000"/>
      <w:sz w:val="24"/>
      <w:szCs w:val="24"/>
    </w:rPr>
  </w:style>
  <w:style w:type="paragraph" w:customStyle="1" w:styleId="201">
    <w:name w:val="font9"/>
    <w:basedOn w:val="1"/>
    <w:autoRedefine/>
    <w:qFormat/>
    <w:uiPriority w:val="0"/>
    <w:pPr>
      <w:spacing w:before="100" w:beforeAutospacing="1" w:after="100" w:afterAutospacing="1"/>
    </w:pPr>
    <w:rPr>
      <w:sz w:val="24"/>
      <w:szCs w:val="24"/>
    </w:rPr>
  </w:style>
  <w:style w:type="paragraph" w:customStyle="1" w:styleId="202">
    <w:name w:val="xl91"/>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203">
    <w:name w:val="xl159"/>
    <w:basedOn w:val="1"/>
    <w:autoRedefine/>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04">
    <w:name w:val="Char1"/>
    <w:basedOn w:val="1"/>
    <w:autoRedefine/>
    <w:qFormat/>
    <w:uiPriority w:val="0"/>
    <w:pPr>
      <w:widowControl w:val="0"/>
      <w:adjustRightInd w:val="0"/>
      <w:spacing w:line="360" w:lineRule="auto"/>
      <w:jc w:val="both"/>
    </w:pPr>
    <w:rPr>
      <w:sz w:val="24"/>
    </w:rPr>
  </w:style>
  <w:style w:type="paragraph" w:customStyle="1" w:styleId="205">
    <w:name w:val="Char1 Char Char Char Char Char Char"/>
    <w:basedOn w:val="1"/>
    <w:autoRedefine/>
    <w:qFormat/>
    <w:uiPriority w:val="0"/>
    <w:pPr>
      <w:spacing w:after="160" w:line="240" w:lineRule="exact"/>
    </w:pPr>
    <w:rPr>
      <w:rFonts w:ascii="Verdana" w:hAnsi="Verdana" w:eastAsia="仿宋_GB2312"/>
      <w:sz w:val="24"/>
      <w:lang w:eastAsia="en-US"/>
    </w:rPr>
  </w:style>
  <w:style w:type="paragraph" w:customStyle="1" w:styleId="206">
    <w:name w:val="xl157"/>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07">
    <w:name w:val="正文图标题"/>
    <w:next w:val="208"/>
    <w:autoRedefine/>
    <w:qFormat/>
    <w:uiPriority w:val="0"/>
    <w:pPr>
      <w:jc w:val="center"/>
    </w:pPr>
    <w:rPr>
      <w:rFonts w:ascii="黑体" w:hAnsi="Times New Roman" w:eastAsia="黑体" w:cs="Times New Roman"/>
      <w:sz w:val="21"/>
      <w:lang w:val="en-US" w:eastAsia="zh-CN" w:bidi="ar-SA"/>
    </w:rPr>
  </w:style>
  <w:style w:type="paragraph" w:customStyle="1" w:styleId="20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9">
    <w:name w:val="文档正文"/>
    <w:basedOn w:val="1"/>
    <w:autoRedefine/>
    <w:qFormat/>
    <w:uiPriority w:val="0"/>
    <w:pPr>
      <w:widowControl w:val="0"/>
      <w:adjustRightInd w:val="0"/>
      <w:spacing w:line="480" w:lineRule="atLeast"/>
      <w:ind w:firstLine="567" w:firstLineChars="200"/>
      <w:jc w:val="both"/>
      <w:textAlignment w:val="baseline"/>
    </w:pPr>
    <w:rPr>
      <w:rFonts w:ascii="长城仿宋"/>
    </w:rPr>
  </w:style>
  <w:style w:type="paragraph" w:customStyle="1" w:styleId="210">
    <w:name w:val="表头文字"/>
    <w:basedOn w:val="1"/>
    <w:autoRedefine/>
    <w:qFormat/>
    <w:uiPriority w:val="0"/>
    <w:pPr>
      <w:widowControl w:val="0"/>
      <w:jc w:val="center"/>
    </w:pPr>
    <w:rPr>
      <w:rFonts w:ascii="Arial" w:hAnsi="Arial" w:cs="宋体"/>
      <w:b/>
      <w:bCs/>
      <w:kern w:val="2"/>
    </w:rPr>
  </w:style>
  <w:style w:type="paragraph" w:customStyle="1" w:styleId="211">
    <w:name w:val="文字"/>
    <w:basedOn w:val="1"/>
    <w:autoRedefine/>
    <w:qFormat/>
    <w:uiPriority w:val="0"/>
    <w:pPr>
      <w:widowControl w:val="0"/>
      <w:tabs>
        <w:tab w:val="left" w:pos="8520"/>
      </w:tabs>
      <w:spacing w:line="312" w:lineRule="auto"/>
      <w:ind w:right="-210" w:firstLine="556"/>
      <w:jc w:val="both"/>
    </w:pPr>
    <w:rPr>
      <w:rFonts w:ascii="宋体"/>
      <w:kern w:val="2"/>
      <w:sz w:val="28"/>
    </w:rPr>
  </w:style>
  <w:style w:type="paragraph" w:customStyle="1" w:styleId="212">
    <w:name w:val="Message Header First"/>
    <w:basedOn w:val="40"/>
    <w:next w:val="40"/>
    <w:autoRedefine/>
    <w:qFormat/>
    <w:uiPriority w:val="0"/>
  </w:style>
  <w:style w:type="paragraph" w:customStyle="1" w:styleId="213">
    <w:name w:val="xl127"/>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214">
    <w:name w:val="xl163"/>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15">
    <w:name w:val="样式 (西文) 宋体 小四 左 段前: 5 磅 段后: 5 磅 行距: 最小值 12 磅 图案: 清除 (白色) ...1"/>
    <w:basedOn w:val="1"/>
    <w:autoRedefine/>
    <w:qFormat/>
    <w:uiPriority w:val="0"/>
    <w:pPr>
      <w:shd w:val="clear" w:color="auto" w:fill="FFFFFF"/>
      <w:spacing w:before="100" w:after="100" w:line="240" w:lineRule="atLeast"/>
      <w:ind w:firstLine="250" w:firstLineChars="250"/>
    </w:pPr>
    <w:rPr>
      <w:rFonts w:ascii="宋体" w:hAnsi="宋体" w:cs="宋体"/>
      <w:sz w:val="24"/>
    </w:rPr>
  </w:style>
  <w:style w:type="paragraph" w:customStyle="1" w:styleId="216">
    <w:name w:val="样式 正文（首行缩进两字） + 宋体 小四"/>
    <w:basedOn w:val="13"/>
    <w:autoRedefine/>
    <w:qFormat/>
    <w:uiPriority w:val="0"/>
    <w:pPr>
      <w:widowControl w:val="0"/>
      <w:spacing w:line="100" w:lineRule="atLeast"/>
      <w:ind w:firstLine="614" w:firstLineChars="192"/>
    </w:pPr>
    <w:rPr>
      <w:rFonts w:ascii="仿宋_GB2312" w:hAnsi="宋体" w:eastAsia="仿宋_GB2312"/>
      <w:sz w:val="32"/>
    </w:rPr>
  </w:style>
  <w:style w:type="paragraph" w:customStyle="1" w:styleId="217">
    <w:name w:val="font11"/>
    <w:basedOn w:val="1"/>
    <w:autoRedefine/>
    <w:qFormat/>
    <w:uiPriority w:val="0"/>
    <w:pPr>
      <w:spacing w:before="100" w:beforeAutospacing="1" w:after="100" w:afterAutospacing="1"/>
    </w:pPr>
    <w:rPr>
      <w:rFonts w:ascii="仿宋_GB2312" w:hAnsi="宋体" w:eastAsia="仿宋_GB2312" w:cs="宋体"/>
      <w:b/>
      <w:bCs/>
      <w:sz w:val="40"/>
      <w:szCs w:val="40"/>
    </w:rPr>
  </w:style>
  <w:style w:type="paragraph" w:customStyle="1" w:styleId="218">
    <w:name w:val="xl134"/>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219">
    <w:name w:val="标题 11"/>
    <w:basedOn w:val="1"/>
    <w:next w:val="1"/>
    <w:autoRedefine/>
    <w:qFormat/>
    <w:uiPriority w:val="0"/>
    <w:pPr>
      <w:keepNext/>
      <w:keepLines/>
      <w:widowControl w:val="0"/>
      <w:tabs>
        <w:tab w:val="left" w:pos="709"/>
        <w:tab w:val="left" w:pos="1181"/>
      </w:tabs>
      <w:spacing w:before="340" w:after="330" w:line="576" w:lineRule="auto"/>
      <w:ind w:left="1181" w:hanging="420"/>
      <w:jc w:val="both"/>
      <w:outlineLvl w:val="0"/>
    </w:pPr>
    <w:rPr>
      <w:rFonts w:hint="eastAsia" w:ascii="Calibri" w:hAnsi="Calibri"/>
      <w:b/>
      <w:kern w:val="44"/>
      <w:sz w:val="44"/>
    </w:rPr>
  </w:style>
  <w:style w:type="paragraph" w:customStyle="1" w:styleId="220">
    <w:name w:val="Char1 Char Char Char"/>
    <w:basedOn w:val="1"/>
    <w:autoRedefine/>
    <w:qFormat/>
    <w:uiPriority w:val="0"/>
    <w:pPr>
      <w:widowControl w:val="0"/>
      <w:jc w:val="both"/>
    </w:pPr>
    <w:rPr>
      <w:rFonts w:ascii="Tahoma" w:hAnsi="Tahoma"/>
      <w:kern w:val="2"/>
      <w:sz w:val="24"/>
    </w:rPr>
  </w:style>
  <w:style w:type="paragraph" w:customStyle="1" w:styleId="221">
    <w:name w:val="xl78"/>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sz w:val="24"/>
      <w:szCs w:val="24"/>
    </w:rPr>
  </w:style>
  <w:style w:type="paragraph" w:customStyle="1" w:styleId="222">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sz w:val="24"/>
      <w:szCs w:val="24"/>
    </w:rPr>
  </w:style>
  <w:style w:type="paragraph" w:customStyle="1" w:styleId="223">
    <w:name w:val="样式 样式 宋体 小四 黑色 两端对齐 段前: 1.2 磅 段后: 1.2 磅 行距: 1.5 倍行距 + 首行缩进:  2 字符"/>
    <w:basedOn w:val="1"/>
    <w:autoRedefine/>
    <w:qFormat/>
    <w:uiPriority w:val="0"/>
    <w:pPr>
      <w:widowControl w:val="0"/>
      <w:spacing w:line="360" w:lineRule="auto"/>
      <w:ind w:firstLine="420" w:firstLineChars="150"/>
      <w:jc w:val="both"/>
    </w:pPr>
    <w:rPr>
      <w:rFonts w:eastAsia="仿宋_GB2312"/>
      <w:kern w:val="2"/>
      <w:sz w:val="28"/>
      <w:szCs w:val="28"/>
    </w:rPr>
  </w:style>
  <w:style w:type="paragraph" w:customStyle="1" w:styleId="224">
    <w:name w:val="font25"/>
    <w:basedOn w:val="1"/>
    <w:autoRedefine/>
    <w:qFormat/>
    <w:uiPriority w:val="0"/>
    <w:pPr>
      <w:spacing w:before="100" w:beforeAutospacing="1" w:after="100" w:afterAutospacing="1"/>
    </w:pPr>
    <w:rPr>
      <w:color w:val="0000FF"/>
      <w:sz w:val="24"/>
      <w:szCs w:val="24"/>
    </w:rPr>
  </w:style>
  <w:style w:type="paragraph" w:customStyle="1" w:styleId="225">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6">
    <w:name w:val="xl1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7">
    <w:name w:val="xl161"/>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28">
    <w:name w:val="xl39"/>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29">
    <w:name w:val="文件正文"/>
    <w:basedOn w:val="1"/>
    <w:autoRedefine/>
    <w:qFormat/>
    <w:uiPriority w:val="0"/>
    <w:pPr>
      <w:widowControl w:val="0"/>
      <w:spacing w:line="360" w:lineRule="auto"/>
      <w:ind w:firstLine="480" w:firstLineChars="200"/>
      <w:jc w:val="both"/>
    </w:pPr>
    <w:rPr>
      <w:rFonts w:eastAsia="仿宋_GB2312" w:cs="仿宋_GB2312"/>
      <w:kern w:val="2"/>
      <w:sz w:val="24"/>
      <w:szCs w:val="24"/>
    </w:rPr>
  </w:style>
  <w:style w:type="paragraph" w:customStyle="1" w:styleId="230">
    <w:name w:val="字元 字元"/>
    <w:basedOn w:val="1"/>
    <w:autoRedefine/>
    <w:qFormat/>
    <w:uiPriority w:val="0"/>
    <w:pPr>
      <w:spacing w:after="160" w:line="240" w:lineRule="exact"/>
    </w:pPr>
    <w:rPr>
      <w:rFonts w:ascii="Verdana" w:hAnsi="Verdana"/>
      <w:sz w:val="20"/>
      <w:lang w:eastAsia="en-US"/>
    </w:rPr>
  </w:style>
  <w:style w:type="paragraph" w:customStyle="1" w:styleId="231">
    <w:name w:val="font12"/>
    <w:basedOn w:val="1"/>
    <w:autoRedefine/>
    <w:qFormat/>
    <w:uiPriority w:val="0"/>
    <w:pPr>
      <w:spacing w:before="100" w:beforeAutospacing="1" w:after="100" w:afterAutospacing="1"/>
    </w:pPr>
    <w:rPr>
      <w:b/>
      <w:bCs/>
      <w:sz w:val="24"/>
      <w:szCs w:val="24"/>
    </w:rPr>
  </w:style>
  <w:style w:type="paragraph" w:customStyle="1" w:styleId="232">
    <w:name w:val="xl8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top"/>
    </w:pPr>
    <w:rPr>
      <w:b/>
      <w:bCs/>
      <w:sz w:val="24"/>
      <w:szCs w:val="24"/>
    </w:rPr>
  </w:style>
  <w:style w:type="paragraph" w:customStyle="1" w:styleId="233">
    <w:name w:val="xl14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4"/>
      <w:szCs w:val="24"/>
    </w:rPr>
  </w:style>
  <w:style w:type="paragraph" w:customStyle="1" w:styleId="234">
    <w:name w:val="font22"/>
    <w:basedOn w:val="1"/>
    <w:autoRedefine/>
    <w:qFormat/>
    <w:uiPriority w:val="0"/>
    <w:pPr>
      <w:spacing w:before="100" w:beforeAutospacing="1" w:after="100" w:afterAutospacing="1"/>
    </w:pPr>
    <w:rPr>
      <w:sz w:val="20"/>
    </w:rPr>
  </w:style>
  <w:style w:type="paragraph" w:customStyle="1" w:styleId="235">
    <w:name w:val="p0"/>
    <w:basedOn w:val="1"/>
    <w:autoRedefine/>
    <w:qFormat/>
    <w:uiPriority w:val="0"/>
    <w:rPr>
      <w:szCs w:val="21"/>
    </w:rPr>
  </w:style>
  <w:style w:type="paragraph" w:customStyle="1" w:styleId="236">
    <w:name w:val="项目排列"/>
    <w:basedOn w:val="1"/>
    <w:autoRedefine/>
    <w:qFormat/>
    <w:uiPriority w:val="0"/>
    <w:pPr>
      <w:widowControl w:val="0"/>
      <w:spacing w:beforeLines="50" w:afterLines="50" w:line="300" w:lineRule="auto"/>
      <w:ind w:left="350" w:leftChars="200" w:hanging="150" w:hangingChars="150"/>
      <w:jc w:val="both"/>
    </w:pPr>
    <w:rPr>
      <w:kern w:val="2"/>
      <w:sz w:val="24"/>
      <w:szCs w:val="24"/>
    </w:rPr>
  </w:style>
  <w:style w:type="paragraph" w:customStyle="1" w:styleId="237">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8">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39">
    <w:name w:val="Char Char Char Char"/>
    <w:basedOn w:val="1"/>
    <w:autoRedefine/>
    <w:qFormat/>
    <w:uiPriority w:val="0"/>
    <w:pPr>
      <w:widowControl w:val="0"/>
      <w:tabs>
        <w:tab w:val="left" w:pos="360"/>
      </w:tabs>
      <w:ind w:firstLine="420" w:firstLineChars="150"/>
      <w:jc w:val="both"/>
    </w:pPr>
    <w:rPr>
      <w:rFonts w:ascii="Arial" w:hAnsi="Arial" w:cs="Arial"/>
      <w:kern w:val="2"/>
      <w:sz w:val="20"/>
    </w:rPr>
  </w:style>
  <w:style w:type="paragraph" w:customStyle="1" w:styleId="240">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1">
    <w:name w:val="xl14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4"/>
      <w:szCs w:val="24"/>
    </w:rPr>
  </w:style>
  <w:style w:type="paragraph" w:customStyle="1" w:styleId="242">
    <w:name w:val="第12册用标题"/>
    <w:basedOn w:val="1"/>
    <w:next w:val="1"/>
    <w:autoRedefine/>
    <w:qFormat/>
    <w:uiPriority w:val="0"/>
    <w:pPr>
      <w:widowControl w:val="0"/>
      <w:spacing w:beforeLines="50" w:afterLines="50"/>
      <w:jc w:val="center"/>
      <w:outlineLvl w:val="0"/>
    </w:pPr>
    <w:rPr>
      <w:rFonts w:ascii="Arial" w:hAnsi="Arial" w:eastAsia="黑体"/>
      <w:kern w:val="2"/>
      <w:sz w:val="44"/>
    </w:rPr>
  </w:style>
  <w:style w:type="paragraph" w:customStyle="1" w:styleId="243">
    <w:name w:val="p17"/>
    <w:basedOn w:val="1"/>
    <w:autoRedefine/>
    <w:qFormat/>
    <w:uiPriority w:val="0"/>
    <w:pPr>
      <w:snapToGrid w:val="0"/>
      <w:spacing w:before="60" w:after="60" w:line="300" w:lineRule="auto"/>
      <w:jc w:val="center"/>
    </w:pPr>
    <w:rPr>
      <w:spacing w:val="20"/>
      <w:sz w:val="24"/>
      <w:szCs w:val="24"/>
    </w:rPr>
  </w:style>
  <w:style w:type="paragraph" w:customStyle="1" w:styleId="244">
    <w:name w:val="xl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5">
    <w:name w:val="xl152"/>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46">
    <w:name w:val="Char Char Char Char Char Char Char Char Char Char Char"/>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47">
    <w:name w:val="font23"/>
    <w:basedOn w:val="1"/>
    <w:autoRedefine/>
    <w:qFormat/>
    <w:uiPriority w:val="0"/>
    <w:pPr>
      <w:spacing w:before="100" w:beforeAutospacing="1" w:after="100" w:afterAutospacing="1"/>
    </w:pPr>
    <w:rPr>
      <w:rFonts w:ascii="仿宋_GB2312" w:hAnsi="宋体" w:eastAsia="仿宋_GB2312" w:cs="宋体"/>
      <w:sz w:val="20"/>
    </w:rPr>
  </w:style>
  <w:style w:type="paragraph" w:customStyle="1" w:styleId="248">
    <w:name w:val="Default Paragraph Font Para Char"/>
    <w:basedOn w:val="1"/>
    <w:autoRedefine/>
    <w:qFormat/>
    <w:uiPriority w:val="0"/>
    <w:pPr>
      <w:spacing w:after="160" w:line="240" w:lineRule="exact"/>
    </w:pPr>
    <w:rPr>
      <w:kern w:val="2"/>
      <w:szCs w:val="24"/>
    </w:rPr>
  </w:style>
  <w:style w:type="paragraph" w:customStyle="1" w:styleId="249">
    <w:name w:val="xl14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50">
    <w:name w:val="xl48"/>
    <w:basedOn w:val="1"/>
    <w:autoRedefine/>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仿宋_GB2312"/>
      <w:sz w:val="24"/>
      <w:szCs w:val="24"/>
    </w:rPr>
  </w:style>
  <w:style w:type="paragraph" w:customStyle="1" w:styleId="251">
    <w:name w:val="xl135"/>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52">
    <w:name w:val="xl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24"/>
      <w:szCs w:val="24"/>
    </w:rPr>
  </w:style>
  <w:style w:type="paragraph" w:customStyle="1" w:styleId="253">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54">
    <w:name w:val="xl167"/>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255">
    <w:name w:val="xl165"/>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56">
    <w:name w:val="xl10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25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8">
    <w:name w:val="xl123"/>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259">
    <w:name w:val="xl13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60">
    <w:name w:val="p19"/>
    <w:basedOn w:val="1"/>
    <w:autoRedefine/>
    <w:qFormat/>
    <w:uiPriority w:val="0"/>
    <w:pPr>
      <w:spacing w:after="60"/>
      <w:jc w:val="center"/>
    </w:pPr>
    <w:rPr>
      <w:rFonts w:ascii="华康简标题宋" w:hAnsi="宋体" w:eastAsia="华康简标题宋" w:cs="宋体"/>
      <w:sz w:val="52"/>
      <w:szCs w:val="52"/>
    </w:rPr>
  </w:style>
  <w:style w:type="paragraph" w:customStyle="1" w:styleId="261">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62">
    <w:name w:val="xl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3">
    <w:name w:val="xl105"/>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rFonts w:ascii="仿宋_GB2312" w:hAnsi="宋体" w:eastAsia="仿宋_GB2312" w:cs="宋体"/>
      <w:sz w:val="24"/>
      <w:szCs w:val="24"/>
    </w:rPr>
  </w:style>
  <w:style w:type="paragraph" w:customStyle="1" w:styleId="264">
    <w:name w:val="2册标题1"/>
    <w:basedOn w:val="1"/>
    <w:next w:val="1"/>
    <w:autoRedefine/>
    <w:qFormat/>
    <w:uiPriority w:val="0"/>
    <w:pPr>
      <w:widowControl w:val="0"/>
      <w:spacing w:beforeLines="50" w:afterLines="50"/>
      <w:jc w:val="center"/>
      <w:outlineLvl w:val="0"/>
    </w:pPr>
    <w:rPr>
      <w:rFonts w:ascii="Arial" w:hAnsi="Arial" w:eastAsia="黑体"/>
      <w:kern w:val="2"/>
      <w:sz w:val="32"/>
      <w:szCs w:val="32"/>
    </w:rPr>
  </w:style>
  <w:style w:type="paragraph" w:customStyle="1" w:styleId="265">
    <w:name w:val="xl132"/>
    <w:basedOn w:val="1"/>
    <w:autoRedefine/>
    <w:qFormat/>
    <w:uiPriority w:val="0"/>
    <w:pPr>
      <w:pBdr>
        <w:top w:val="single" w:color="auto" w:sz="4" w:space="0"/>
        <w:left w:val="single" w:color="auto" w:sz="4" w:space="0"/>
        <w:bottom w:val="single" w:color="auto" w:sz="4" w:space="0"/>
        <w:right w:val="single" w:color="auto" w:sz="4" w:space="0"/>
      </w:pBdr>
      <w:shd w:val="clear" w:color="auto" w:fill="0066CC"/>
      <w:spacing w:before="100" w:beforeAutospacing="1" w:after="100" w:afterAutospacing="1"/>
    </w:pPr>
    <w:rPr>
      <w:sz w:val="24"/>
      <w:szCs w:val="24"/>
    </w:rPr>
  </w:style>
  <w:style w:type="paragraph" w:customStyle="1" w:styleId="266">
    <w:name w:val="Char"/>
    <w:basedOn w:val="1"/>
    <w:autoRedefine/>
    <w:qFormat/>
    <w:uiPriority w:val="0"/>
    <w:pPr>
      <w:spacing w:after="160" w:line="240" w:lineRule="exact"/>
    </w:pPr>
    <w:rPr>
      <w:rFonts w:ascii="Verdana" w:hAnsi="Verdana"/>
      <w:sz w:val="20"/>
      <w:lang w:eastAsia="en-US"/>
    </w:rPr>
  </w:style>
  <w:style w:type="paragraph" w:customStyle="1" w:styleId="267">
    <w:name w:val="Char Char Char"/>
    <w:basedOn w:val="1"/>
    <w:autoRedefine/>
    <w:qFormat/>
    <w:uiPriority w:val="0"/>
    <w:pPr>
      <w:spacing w:line="400" w:lineRule="exact"/>
      <w:jc w:val="center"/>
    </w:pPr>
    <w:rPr>
      <w:rFonts w:ascii="Verdana" w:hAnsi="Verdana"/>
      <w:lang w:eastAsia="en-US"/>
    </w:rPr>
  </w:style>
  <w:style w:type="paragraph" w:customStyle="1" w:styleId="268">
    <w:name w:val="默认段落字体 Para Char Char Char Char Char Char Char"/>
    <w:basedOn w:val="1"/>
    <w:autoRedefine/>
    <w:qFormat/>
    <w:uiPriority w:val="0"/>
    <w:pPr>
      <w:widowControl w:val="0"/>
      <w:jc w:val="both"/>
    </w:pPr>
    <w:rPr>
      <w:rFonts w:eastAsia="仿宋_GB2312"/>
      <w:kern w:val="2"/>
      <w:sz w:val="28"/>
      <w:szCs w:val="24"/>
    </w:rPr>
  </w:style>
  <w:style w:type="paragraph" w:customStyle="1" w:styleId="269">
    <w:name w:val="1册标题2"/>
    <w:basedOn w:val="3"/>
    <w:next w:val="1"/>
    <w:autoRedefine/>
    <w:qFormat/>
    <w:uiPriority w:val="0"/>
    <w:pPr>
      <w:keepNext w:val="0"/>
      <w:keepLines w:val="0"/>
      <w:spacing w:before="0" w:after="0" w:line="312" w:lineRule="auto"/>
      <w:jc w:val="center"/>
      <w:outlineLvl w:val="9"/>
    </w:pPr>
    <w:rPr>
      <w:rFonts w:ascii="宋体" w:hAnsi="宋体" w:eastAsia="宋体"/>
      <w:szCs w:val="21"/>
    </w:rPr>
  </w:style>
  <w:style w:type="paragraph" w:customStyle="1" w:styleId="270">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271">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72">
    <w:name w:val="Char Char Char1"/>
    <w:basedOn w:val="1"/>
    <w:autoRedefine/>
    <w:qFormat/>
    <w:uiPriority w:val="0"/>
    <w:pPr>
      <w:spacing w:after="160" w:line="240" w:lineRule="exact"/>
    </w:pPr>
    <w:rPr>
      <w:rFonts w:ascii="Verdana" w:hAnsi="Verdana" w:cs="Verdana"/>
      <w:szCs w:val="21"/>
      <w:lang w:eastAsia="en-US"/>
    </w:rPr>
  </w:style>
  <w:style w:type="paragraph" w:customStyle="1" w:styleId="273">
    <w:name w:val="列出段落4"/>
    <w:basedOn w:val="1"/>
    <w:autoRedefine/>
    <w:qFormat/>
    <w:uiPriority w:val="0"/>
    <w:pPr>
      <w:widowControl w:val="0"/>
      <w:ind w:firstLine="420" w:firstLineChars="200"/>
      <w:jc w:val="both"/>
    </w:pPr>
    <w:rPr>
      <w:kern w:val="2"/>
    </w:rPr>
  </w:style>
  <w:style w:type="paragraph" w:customStyle="1" w:styleId="274">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Verdana"/>
      <w:sz w:val="24"/>
      <w:szCs w:val="24"/>
    </w:rPr>
  </w:style>
  <w:style w:type="paragraph" w:customStyle="1" w:styleId="275">
    <w:name w:val="LED标题1"/>
    <w:basedOn w:val="1"/>
    <w:next w:val="1"/>
    <w:autoRedefine/>
    <w:qFormat/>
    <w:uiPriority w:val="0"/>
    <w:pPr>
      <w:widowControl w:val="0"/>
      <w:spacing w:beforeLines="50" w:afterLines="50"/>
      <w:ind w:firstLine="320" w:firstLineChars="100"/>
      <w:jc w:val="center"/>
      <w:outlineLvl w:val="0"/>
    </w:pPr>
    <w:rPr>
      <w:rFonts w:ascii="Arial" w:hAnsi="Arial" w:eastAsia="黑体"/>
      <w:color w:val="FF0000"/>
      <w:kern w:val="2"/>
      <w:sz w:val="32"/>
      <w:szCs w:val="32"/>
    </w:rPr>
  </w:style>
  <w:style w:type="paragraph" w:customStyle="1" w:styleId="276">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77">
    <w:name w:val="xl111"/>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278">
    <w:name w:val="xl12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40"/>
      <w:szCs w:val="40"/>
    </w:rPr>
  </w:style>
  <w:style w:type="paragraph" w:customStyle="1" w:styleId="279">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80">
    <w:name w:val="1册标题3"/>
    <w:basedOn w:val="1"/>
    <w:next w:val="1"/>
    <w:autoRedefine/>
    <w:qFormat/>
    <w:uiPriority w:val="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281">
    <w:name w:val="正文加黑"/>
    <w:basedOn w:val="1"/>
    <w:autoRedefine/>
    <w:qFormat/>
    <w:uiPriority w:val="0"/>
    <w:pPr>
      <w:widowControl w:val="0"/>
      <w:jc w:val="both"/>
    </w:pPr>
    <w:rPr>
      <w:b/>
      <w:kern w:val="2"/>
    </w:rPr>
  </w:style>
  <w:style w:type="paragraph" w:customStyle="1" w:styleId="282">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83">
    <w:name w:val="xl13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84">
    <w:name w:val="xl164"/>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85">
    <w:name w:val="xl11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b/>
      <w:bCs/>
      <w:sz w:val="24"/>
      <w:szCs w:val="24"/>
    </w:rPr>
  </w:style>
  <w:style w:type="paragraph" w:customStyle="1" w:styleId="286">
    <w:name w:val="表格注释"/>
    <w:basedOn w:val="1"/>
    <w:autoRedefine/>
    <w:qFormat/>
    <w:uiPriority w:val="0"/>
    <w:pPr>
      <w:widowControl w:val="0"/>
      <w:jc w:val="both"/>
    </w:pPr>
    <w:rPr>
      <w:kern w:val="2"/>
    </w:rPr>
  </w:style>
  <w:style w:type="paragraph" w:customStyle="1" w:styleId="287">
    <w:name w:val="样式41"/>
    <w:basedOn w:val="1"/>
    <w:autoRedefine/>
    <w:qFormat/>
    <w:uiPriority w:val="0"/>
    <w:pPr>
      <w:widowControl w:val="0"/>
      <w:tabs>
        <w:tab w:val="left" w:pos="945"/>
      </w:tabs>
      <w:spacing w:line="360" w:lineRule="auto"/>
      <w:ind w:left="720" w:hanging="720"/>
      <w:jc w:val="both"/>
    </w:pPr>
    <w:rPr>
      <w:b/>
      <w:color w:val="000000"/>
      <w:kern w:val="2"/>
      <w:sz w:val="24"/>
    </w:rPr>
  </w:style>
  <w:style w:type="paragraph" w:customStyle="1" w:styleId="288">
    <w:name w:val="1册标题1"/>
    <w:basedOn w:val="1"/>
    <w:next w:val="1"/>
    <w:autoRedefine/>
    <w:qFormat/>
    <w:uiPriority w:val="0"/>
    <w:pPr>
      <w:widowControl w:val="0"/>
      <w:spacing w:beforeLines="50" w:afterLines="50"/>
      <w:jc w:val="center"/>
      <w:outlineLvl w:val="0"/>
    </w:pPr>
    <w:rPr>
      <w:rFonts w:ascii="宋体" w:hAnsi="宋体"/>
      <w:b/>
      <w:bCs/>
      <w:kern w:val="2"/>
      <w:sz w:val="32"/>
      <w:szCs w:val="44"/>
    </w:rPr>
  </w:style>
  <w:style w:type="paragraph" w:customStyle="1" w:styleId="289">
    <w:name w:val="xl160"/>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90">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000000"/>
      <w:sz w:val="24"/>
      <w:szCs w:val="24"/>
    </w:rPr>
  </w:style>
  <w:style w:type="paragraph" w:customStyle="1" w:styleId="291">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rPr>
  </w:style>
  <w:style w:type="paragraph" w:customStyle="1" w:styleId="292">
    <w:name w:val="xl151"/>
    <w:basedOn w:val="1"/>
    <w:autoRedefine/>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pPr>
    <w:rPr>
      <w:rFonts w:ascii="宋体" w:hAnsi="宋体" w:cs="宋体"/>
      <w:sz w:val="24"/>
      <w:szCs w:val="24"/>
    </w:rPr>
  </w:style>
  <w:style w:type="paragraph" w:customStyle="1" w:styleId="293">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94">
    <w:name w:val="Char Char1 Char Char Char Char Char Char"/>
    <w:basedOn w:val="1"/>
    <w:autoRedefine/>
    <w:qFormat/>
    <w:uiPriority w:val="0"/>
    <w:pPr>
      <w:adjustRightInd w:val="0"/>
      <w:snapToGrid w:val="0"/>
      <w:spacing w:beforeLines="25" w:afterLines="25" w:line="240" w:lineRule="exact"/>
      <w:ind w:firstLine="560" w:firstLineChars="192"/>
    </w:pPr>
    <w:rPr>
      <w:rFonts w:ascii="宋体" w:hAnsi="宋体"/>
      <w:sz w:val="28"/>
      <w:szCs w:val="28"/>
      <w:lang w:eastAsia="en-US"/>
    </w:rPr>
  </w:style>
  <w:style w:type="paragraph" w:customStyle="1" w:styleId="295">
    <w:name w:val="xl101"/>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center"/>
    </w:pPr>
    <w:rPr>
      <w:b/>
      <w:bCs/>
      <w:sz w:val="24"/>
      <w:szCs w:val="24"/>
    </w:rPr>
  </w:style>
  <w:style w:type="paragraph" w:customStyle="1" w:styleId="296">
    <w:name w:val="xl129"/>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297">
    <w:name w:val="font20"/>
    <w:basedOn w:val="1"/>
    <w:autoRedefine/>
    <w:qFormat/>
    <w:uiPriority w:val="0"/>
    <w:pPr>
      <w:spacing w:before="100" w:beforeAutospacing="1" w:after="100" w:afterAutospacing="1"/>
    </w:pPr>
    <w:rPr>
      <w:rFonts w:ascii="仿宋_GB2312" w:hAnsi="宋体" w:eastAsia="仿宋_GB2312" w:cs="宋体"/>
      <w:color w:val="FF0000"/>
      <w:sz w:val="24"/>
      <w:szCs w:val="24"/>
    </w:rPr>
  </w:style>
  <w:style w:type="paragraph" w:customStyle="1" w:styleId="298">
    <w:name w:val="p18"/>
    <w:basedOn w:val="1"/>
    <w:autoRedefine/>
    <w:qFormat/>
    <w:uiPriority w:val="0"/>
    <w:pPr>
      <w:jc w:val="both"/>
    </w:pPr>
    <w:rPr>
      <w:rFonts w:ascii="宋体" w:hAnsi="宋体" w:cs="宋体"/>
      <w:szCs w:val="21"/>
    </w:rPr>
  </w:style>
  <w:style w:type="paragraph" w:customStyle="1" w:styleId="299">
    <w:name w:val="xl13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00">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01">
    <w:name w:val="font13"/>
    <w:basedOn w:val="1"/>
    <w:autoRedefine/>
    <w:qFormat/>
    <w:uiPriority w:val="0"/>
    <w:pPr>
      <w:spacing w:before="100" w:beforeAutospacing="1" w:after="100" w:afterAutospacing="1"/>
    </w:pPr>
    <w:rPr>
      <w:color w:val="000000"/>
      <w:sz w:val="24"/>
      <w:szCs w:val="24"/>
    </w:rPr>
  </w:style>
  <w:style w:type="paragraph" w:customStyle="1" w:styleId="302">
    <w:name w:val="xl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303">
    <w:name w:val="font10"/>
    <w:basedOn w:val="1"/>
    <w:autoRedefine/>
    <w:qFormat/>
    <w:uiPriority w:val="0"/>
    <w:pPr>
      <w:spacing w:before="100" w:beforeAutospacing="1" w:after="100" w:afterAutospacing="1"/>
    </w:pPr>
    <w:rPr>
      <w:rFonts w:ascii="宋体" w:hAnsi="宋体" w:cs="宋体"/>
      <w:sz w:val="18"/>
      <w:szCs w:val="18"/>
    </w:rPr>
  </w:style>
  <w:style w:type="paragraph" w:customStyle="1" w:styleId="304">
    <w:name w:val="font18"/>
    <w:basedOn w:val="1"/>
    <w:autoRedefine/>
    <w:qFormat/>
    <w:uiPriority w:val="0"/>
    <w:pPr>
      <w:spacing w:before="100" w:beforeAutospacing="1" w:after="100" w:afterAutospacing="1"/>
    </w:pPr>
    <w:rPr>
      <w:rFonts w:ascii="宋体" w:hAnsi="宋体" w:cs="宋体"/>
      <w:sz w:val="18"/>
      <w:szCs w:val="18"/>
    </w:rPr>
  </w:style>
  <w:style w:type="paragraph" w:customStyle="1" w:styleId="305">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06">
    <w:name w:val="普通标题"/>
    <w:basedOn w:val="1"/>
    <w:next w:val="13"/>
    <w:autoRedefine/>
    <w:qFormat/>
    <w:uiPriority w:val="0"/>
    <w:pPr>
      <w:pageBreakBefore/>
      <w:widowControl w:val="0"/>
      <w:spacing w:beforeLines="200" w:afterLines="100"/>
      <w:jc w:val="center"/>
    </w:pPr>
    <w:rPr>
      <w:rFonts w:ascii="Arial" w:hAnsi="Arial" w:eastAsia="黑体"/>
      <w:b/>
      <w:kern w:val="2"/>
      <w:sz w:val="32"/>
      <w:szCs w:val="32"/>
    </w:rPr>
  </w:style>
  <w:style w:type="paragraph" w:customStyle="1" w:styleId="307">
    <w:name w:val="列出段落1"/>
    <w:basedOn w:val="1"/>
    <w:autoRedefine/>
    <w:qFormat/>
    <w:uiPriority w:val="34"/>
    <w:pPr>
      <w:widowControl w:val="0"/>
      <w:ind w:firstLine="420" w:firstLineChars="200"/>
      <w:jc w:val="both"/>
    </w:pPr>
    <w:rPr>
      <w:kern w:val="2"/>
      <w:szCs w:val="24"/>
    </w:rPr>
  </w:style>
  <w:style w:type="paragraph" w:customStyle="1" w:styleId="308">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09">
    <w:name w:val="正文1 Char Char Char"/>
    <w:basedOn w:val="1"/>
    <w:autoRedefine/>
    <w:qFormat/>
    <w:uiPriority w:val="0"/>
    <w:pPr>
      <w:widowControl w:val="0"/>
      <w:spacing w:line="360" w:lineRule="auto"/>
      <w:ind w:firstLine="200" w:firstLineChars="200"/>
      <w:jc w:val="both"/>
    </w:pPr>
    <w:rPr>
      <w:rFonts w:eastAsia="楷体_GB2312"/>
      <w:kern w:val="2"/>
      <w:sz w:val="30"/>
      <w:szCs w:val="24"/>
    </w:rPr>
  </w:style>
  <w:style w:type="paragraph" w:customStyle="1" w:styleId="310">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11">
    <w:name w:val="列出段落2"/>
    <w:basedOn w:val="1"/>
    <w:autoRedefine/>
    <w:qFormat/>
    <w:uiPriority w:val="0"/>
    <w:pPr>
      <w:ind w:firstLine="420" w:firstLineChars="200"/>
    </w:pPr>
  </w:style>
  <w:style w:type="paragraph" w:customStyle="1" w:styleId="312">
    <w:name w:val="样式1"/>
    <w:basedOn w:val="1"/>
    <w:autoRedefine/>
    <w:qFormat/>
    <w:uiPriority w:val="0"/>
    <w:pPr>
      <w:widowControl w:val="0"/>
      <w:tabs>
        <w:tab w:val="left" w:pos="709"/>
      </w:tabs>
      <w:adjustRightInd w:val="0"/>
      <w:ind w:left="709" w:hanging="709"/>
      <w:jc w:val="both"/>
      <w:textAlignment w:val="baseline"/>
    </w:pPr>
    <w:rPr>
      <w:rFonts w:ascii="宋体" w:hAnsi="宋体"/>
      <w:szCs w:val="21"/>
    </w:rPr>
  </w:style>
  <w:style w:type="paragraph" w:customStyle="1" w:styleId="313">
    <w:name w:val="标题（无编号）"/>
    <w:basedOn w:val="5"/>
    <w:autoRedefine/>
    <w:qFormat/>
    <w:uiPriority w:val="0"/>
    <w:pPr>
      <w:spacing w:beforeLines="100" w:afterLines="100" w:line="240" w:lineRule="auto"/>
      <w:jc w:val="left"/>
    </w:pPr>
    <w:rPr>
      <w:sz w:val="30"/>
    </w:rPr>
  </w:style>
  <w:style w:type="paragraph" w:customStyle="1" w:styleId="314">
    <w:name w:val="xl12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pPr>
    <w:rPr>
      <w:b/>
      <w:bCs/>
      <w:sz w:val="24"/>
      <w:szCs w:val="24"/>
    </w:rPr>
  </w:style>
  <w:style w:type="paragraph" w:customStyle="1" w:styleId="315">
    <w:name w:val="xl88"/>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316">
    <w:name w:val="默认段落字体 Para Char Char Char Char Char Char Char Char Char1 Char"/>
    <w:basedOn w:val="1"/>
    <w:autoRedefine/>
    <w:qFormat/>
    <w:uiPriority w:val="0"/>
    <w:pPr>
      <w:widowControl w:val="0"/>
      <w:jc w:val="both"/>
    </w:pPr>
    <w:rPr>
      <w:kern w:val="2"/>
      <w:szCs w:val="24"/>
    </w:rPr>
  </w:style>
  <w:style w:type="paragraph" w:customStyle="1" w:styleId="317">
    <w:name w:val="xl9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4"/>
      <w:szCs w:val="24"/>
    </w:rPr>
  </w:style>
  <w:style w:type="paragraph" w:customStyle="1" w:styleId="318">
    <w:name w:val="样式 样式 样式 小四 行距: 1.5 倍行距 + 加粗 + 首行缩进:  2 字符"/>
    <w:basedOn w:val="1"/>
    <w:autoRedefine/>
    <w:qFormat/>
    <w:uiPriority w:val="0"/>
    <w:pPr>
      <w:widowControl w:val="0"/>
      <w:ind w:firstLine="482"/>
      <w:jc w:val="both"/>
    </w:pPr>
    <w:rPr>
      <w:rFonts w:cs="宋体"/>
      <w:b/>
      <w:bCs/>
      <w:kern w:val="2"/>
      <w:sz w:val="24"/>
    </w:rPr>
  </w:style>
  <w:style w:type="paragraph" w:customStyle="1" w:styleId="319">
    <w:name w:val="xl9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320">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21">
    <w:name w:val="Char Char Char Char Char Char Char1"/>
    <w:basedOn w:val="1"/>
    <w:autoRedefine/>
    <w:qFormat/>
    <w:uiPriority w:val="0"/>
    <w:pPr>
      <w:spacing w:after="160" w:line="240" w:lineRule="exact"/>
    </w:pPr>
    <w:rPr>
      <w:rFonts w:ascii="Verdana" w:hAnsi="Verdana"/>
      <w:sz w:val="20"/>
      <w:lang w:eastAsia="en-US"/>
    </w:rPr>
  </w:style>
  <w:style w:type="paragraph" w:customStyle="1" w:styleId="322">
    <w:name w:val="xl110"/>
    <w:basedOn w:val="1"/>
    <w:autoRedefine/>
    <w:qFormat/>
    <w:uiPriority w:val="0"/>
    <w:pPr>
      <w:spacing w:before="100" w:beforeAutospacing="1" w:after="100" w:afterAutospacing="1"/>
      <w:textAlignment w:val="center"/>
    </w:pPr>
    <w:rPr>
      <w:rFonts w:ascii="宋体" w:hAnsi="宋体" w:cs="宋体"/>
      <w:color w:val="000000"/>
      <w:sz w:val="24"/>
      <w:szCs w:val="24"/>
    </w:rPr>
  </w:style>
  <w:style w:type="paragraph" w:customStyle="1" w:styleId="323">
    <w:name w:val="表图名"/>
    <w:basedOn w:val="1"/>
    <w:autoRedefine/>
    <w:qFormat/>
    <w:uiPriority w:val="0"/>
    <w:pPr>
      <w:widowControl w:val="0"/>
      <w:spacing w:line="360" w:lineRule="auto"/>
      <w:jc w:val="both"/>
    </w:pPr>
    <w:rPr>
      <w:rFonts w:ascii="Arial" w:hAnsi="Arial" w:cs="Arial"/>
      <w:kern w:val="2"/>
      <w:sz w:val="24"/>
      <w:szCs w:val="18"/>
    </w:rPr>
  </w:style>
  <w:style w:type="paragraph" w:customStyle="1" w:styleId="324">
    <w:name w:val="xl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325">
    <w:name w:val="xl119"/>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26">
    <w:name w:val="代码"/>
    <w:basedOn w:val="1"/>
    <w:autoRedefine/>
    <w:qFormat/>
    <w:uiPriority w:val="0"/>
    <w:pPr>
      <w:widowControl w:val="0"/>
      <w:spacing w:beforeLines="50" w:afterLines="50"/>
      <w:ind w:left="960" w:leftChars="400"/>
      <w:jc w:val="both"/>
    </w:pPr>
    <w:rPr>
      <w:rFonts w:ascii="Courier New" w:hAnsi="Courier New"/>
      <w:kern w:val="2"/>
      <w:szCs w:val="21"/>
    </w:rPr>
  </w:style>
  <w:style w:type="paragraph" w:customStyle="1" w:styleId="327">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328">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0"/>
    </w:rPr>
  </w:style>
  <w:style w:type="paragraph" w:customStyle="1" w:styleId="329">
    <w:name w:val="xl14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30">
    <w:name w:val="xl40"/>
    <w:basedOn w:val="1"/>
    <w:autoRedefine/>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styleId="331">
    <w:name w:val="No Spacing"/>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32">
    <w:name w:val="2册标题5"/>
    <w:basedOn w:val="333"/>
    <w:next w:val="1"/>
    <w:autoRedefine/>
    <w:qFormat/>
    <w:uiPriority w:val="0"/>
    <w:pPr>
      <w:spacing w:line="240" w:lineRule="auto"/>
      <w:ind w:left="720" w:leftChars="300"/>
      <w:outlineLvl w:val="4"/>
    </w:pPr>
    <w:rPr>
      <w:rFonts w:eastAsia="楷体_GB2312"/>
    </w:rPr>
  </w:style>
  <w:style w:type="paragraph" w:customStyle="1" w:styleId="333">
    <w:name w:val="2册标题4"/>
    <w:basedOn w:val="1"/>
    <w:next w:val="1"/>
    <w:autoRedefine/>
    <w:qFormat/>
    <w:uiPriority w:val="0"/>
    <w:pPr>
      <w:widowControl w:val="0"/>
      <w:spacing w:beforeLines="50" w:afterLines="50" w:line="300" w:lineRule="auto"/>
      <w:ind w:left="420" w:leftChars="200"/>
      <w:jc w:val="both"/>
      <w:outlineLvl w:val="3"/>
    </w:pPr>
    <w:rPr>
      <w:rFonts w:ascii="Arial" w:hAnsi="Arial" w:eastAsia="幼圆" w:cs="Arial"/>
      <w:b/>
      <w:kern w:val="2"/>
      <w:sz w:val="24"/>
      <w:szCs w:val="24"/>
    </w:rPr>
  </w:style>
  <w:style w:type="paragraph" w:customStyle="1" w:styleId="334">
    <w:name w:val="xl1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仿宋_GB2312" w:hAnsi="宋体" w:eastAsia="仿宋_GB2312" w:cs="宋体"/>
      <w:sz w:val="24"/>
      <w:szCs w:val="24"/>
    </w:rPr>
  </w:style>
  <w:style w:type="paragraph" w:customStyle="1" w:styleId="335">
    <w:name w:val="font0"/>
    <w:basedOn w:val="1"/>
    <w:autoRedefine/>
    <w:qFormat/>
    <w:uiPriority w:val="0"/>
    <w:pPr>
      <w:spacing w:before="100" w:beforeAutospacing="1" w:after="100" w:afterAutospacing="1"/>
    </w:pPr>
    <w:rPr>
      <w:rFonts w:ascii="宋体" w:hAnsi="宋体" w:cs="宋体"/>
      <w:sz w:val="24"/>
      <w:szCs w:val="24"/>
    </w:rPr>
  </w:style>
  <w:style w:type="paragraph" w:customStyle="1" w:styleId="336">
    <w:name w:val="xl130"/>
    <w:basedOn w:val="1"/>
    <w:autoRedefine/>
    <w:qFormat/>
    <w:uiPriority w:val="0"/>
    <w:pPr>
      <w:pBdr>
        <w:left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37">
    <w:name w:val="文档标题"/>
    <w:basedOn w:val="43"/>
    <w:autoRedefine/>
    <w:qFormat/>
    <w:uiPriority w:val="0"/>
    <w:pPr>
      <w:pageBreakBefore w:val="0"/>
      <w:spacing w:beforeLines="100" w:afterLines="0"/>
    </w:pPr>
    <w:rPr>
      <w:bCs w:val="0"/>
    </w:rPr>
  </w:style>
  <w:style w:type="paragraph" w:customStyle="1" w:styleId="338">
    <w:name w:val="font16"/>
    <w:basedOn w:val="1"/>
    <w:autoRedefine/>
    <w:qFormat/>
    <w:uiPriority w:val="0"/>
    <w:pPr>
      <w:spacing w:before="100" w:beforeAutospacing="1" w:after="100" w:afterAutospacing="1"/>
    </w:pPr>
    <w:rPr>
      <w:rFonts w:ascii="宋体" w:hAnsi="宋体" w:cs="宋体"/>
      <w:sz w:val="18"/>
      <w:szCs w:val="18"/>
    </w:rPr>
  </w:style>
  <w:style w:type="paragraph" w:customStyle="1" w:styleId="339">
    <w:name w:val="样式2"/>
    <w:basedOn w:val="1"/>
    <w:autoRedefine/>
    <w:qFormat/>
    <w:uiPriority w:val="0"/>
    <w:pPr>
      <w:widowControl w:val="0"/>
      <w:tabs>
        <w:tab w:val="left" w:pos="720"/>
      </w:tabs>
      <w:ind w:left="760" w:firstLine="200"/>
      <w:jc w:val="both"/>
    </w:pPr>
    <w:rPr>
      <w:kern w:val="2"/>
    </w:rPr>
  </w:style>
  <w:style w:type="paragraph" w:customStyle="1" w:styleId="340">
    <w:name w:val="封面标题"/>
    <w:autoRedefine/>
    <w:qFormat/>
    <w:uiPriority w:val="0"/>
    <w:pPr>
      <w:spacing w:line="360" w:lineRule="auto"/>
      <w:jc w:val="center"/>
    </w:pPr>
    <w:rPr>
      <w:rFonts w:ascii="Times New Roman" w:hAnsi="Times New Roman" w:eastAsia="幼圆" w:cs="Times New Roman"/>
      <w:b/>
      <w:bCs/>
      <w:kern w:val="2"/>
      <w:sz w:val="48"/>
      <w:szCs w:val="48"/>
      <w:lang w:val="en-US" w:eastAsia="zh-CN" w:bidi="ar-SA"/>
    </w:rPr>
  </w:style>
  <w:style w:type="paragraph" w:customStyle="1" w:styleId="341">
    <w:name w:val="样式 左侧:  2 字符"/>
    <w:basedOn w:val="1"/>
    <w:autoRedefine/>
    <w:qFormat/>
    <w:uiPriority w:val="0"/>
    <w:pPr>
      <w:widowControl w:val="0"/>
      <w:ind w:firstLine="200" w:firstLineChars="200"/>
      <w:jc w:val="both"/>
    </w:pPr>
    <w:rPr>
      <w:rFonts w:cs="宋体"/>
      <w:kern w:val="2"/>
    </w:rPr>
  </w:style>
  <w:style w:type="paragraph" w:customStyle="1" w:styleId="342">
    <w:name w:val="前面加点"/>
    <w:basedOn w:val="1"/>
    <w:autoRedefine/>
    <w:qFormat/>
    <w:uiPriority w:val="0"/>
    <w:pPr>
      <w:widowControl w:val="0"/>
      <w:tabs>
        <w:tab w:val="left" w:pos="720"/>
      </w:tabs>
      <w:ind w:left="760" w:firstLine="200"/>
      <w:jc w:val="both"/>
    </w:pPr>
    <w:rPr>
      <w:kern w:val="2"/>
    </w:rPr>
  </w:style>
  <w:style w:type="paragraph" w:customStyle="1" w:styleId="343">
    <w:name w:val="xl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344">
    <w:name w:val="xl128"/>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45">
    <w:name w:val="样式 ˎ̥ 左 首行缩进:  2 字符"/>
    <w:basedOn w:val="1"/>
    <w:autoRedefine/>
    <w:qFormat/>
    <w:uiPriority w:val="0"/>
    <w:pPr>
      <w:widowControl w:val="0"/>
      <w:spacing w:line="360" w:lineRule="auto"/>
      <w:ind w:firstLine="480" w:firstLineChars="200"/>
    </w:pPr>
    <w:rPr>
      <w:rFonts w:ascii="ˎ̥" w:hAnsi="ˎ̥"/>
      <w:sz w:val="24"/>
    </w:rPr>
  </w:style>
  <w:style w:type="paragraph" w:customStyle="1" w:styleId="346">
    <w:name w:val="说明文字"/>
    <w:basedOn w:val="1"/>
    <w:next w:val="13"/>
    <w:autoRedefine/>
    <w:qFormat/>
    <w:uiPriority w:val="0"/>
    <w:pPr>
      <w:widowControl w:val="0"/>
      <w:spacing w:beforeLines="50" w:afterLines="50"/>
      <w:jc w:val="both"/>
    </w:pPr>
    <w:rPr>
      <w:i/>
      <w:color w:val="0000FF"/>
      <w:kern w:val="2"/>
      <w:szCs w:val="21"/>
    </w:rPr>
  </w:style>
  <w:style w:type="paragraph" w:customStyle="1" w:styleId="347">
    <w:name w:val="正文缩进1"/>
    <w:basedOn w:val="1"/>
    <w:autoRedefine/>
    <w:qFormat/>
    <w:uiPriority w:val="0"/>
    <w:pPr>
      <w:widowControl w:val="0"/>
      <w:ind w:firstLine="420"/>
      <w:jc w:val="both"/>
    </w:pPr>
    <w:rPr>
      <w:rFonts w:hAnsi="Calibri"/>
      <w:kern w:val="2"/>
    </w:rPr>
  </w:style>
  <w:style w:type="paragraph" w:customStyle="1" w:styleId="348">
    <w:name w:val="font17"/>
    <w:basedOn w:val="1"/>
    <w:autoRedefine/>
    <w:qFormat/>
    <w:uiPriority w:val="0"/>
    <w:pPr>
      <w:spacing w:before="100" w:beforeAutospacing="1" w:after="100" w:afterAutospacing="1"/>
    </w:pPr>
    <w:rPr>
      <w:rFonts w:ascii="宋体" w:hAnsi="宋体" w:cs="宋体"/>
      <w:color w:val="000000"/>
      <w:sz w:val="24"/>
      <w:szCs w:val="24"/>
    </w:rPr>
  </w:style>
  <w:style w:type="paragraph" w:customStyle="1" w:styleId="349">
    <w:name w:val="图"/>
    <w:basedOn w:val="1"/>
    <w:autoRedefine/>
    <w:qFormat/>
    <w:uiPriority w:val="0"/>
    <w:pPr>
      <w:keepNext/>
      <w:widowControl w:val="0"/>
      <w:adjustRightInd w:val="0"/>
      <w:snapToGrid w:val="0"/>
      <w:spacing w:before="60" w:after="60" w:line="300" w:lineRule="auto"/>
      <w:jc w:val="center"/>
    </w:pPr>
    <w:rPr>
      <w:spacing w:val="20"/>
      <w:sz w:val="24"/>
    </w:rPr>
  </w:style>
  <w:style w:type="paragraph" w:customStyle="1" w:styleId="350">
    <w:name w:val="xl6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sz w:val="24"/>
      <w:szCs w:val="24"/>
    </w:rPr>
  </w:style>
  <w:style w:type="paragraph" w:customStyle="1" w:styleId="351">
    <w:name w:val="xl1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52">
    <w:name w:val="纯文本 Char Char2"/>
    <w:basedOn w:val="1"/>
    <w:autoRedefine/>
    <w:qFormat/>
    <w:uiPriority w:val="0"/>
    <w:pPr>
      <w:spacing w:after="160" w:line="240" w:lineRule="exact"/>
    </w:pPr>
    <w:rPr>
      <w:rFonts w:ascii="Verdana" w:hAnsi="Verdana" w:eastAsia="楷体_GB2312"/>
      <w:b/>
      <w:i/>
      <w:iCs/>
      <w:color w:val="000000"/>
      <w:sz w:val="20"/>
      <w:lang w:eastAsia="en-US"/>
    </w:rPr>
  </w:style>
  <w:style w:type="paragraph" w:customStyle="1" w:styleId="353">
    <w:name w:val="缺省文本"/>
    <w:basedOn w:val="1"/>
    <w:autoRedefine/>
    <w:qFormat/>
    <w:uiPriority w:val="0"/>
    <w:pPr>
      <w:widowControl w:val="0"/>
      <w:autoSpaceDE w:val="0"/>
      <w:autoSpaceDN w:val="0"/>
      <w:adjustRightInd w:val="0"/>
    </w:pPr>
    <w:rPr>
      <w:rFonts w:ascii="仿宋_GB2312" w:eastAsia="仿宋_GB2312"/>
      <w:sz w:val="24"/>
    </w:rPr>
  </w:style>
  <w:style w:type="paragraph" w:customStyle="1" w:styleId="354">
    <w:name w:val="宏文本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hint="eastAsia" w:ascii="Courier New" w:hAnsi="Courier New" w:eastAsia="宋体" w:cs="Times New Roman"/>
      <w:kern w:val="2"/>
      <w:sz w:val="24"/>
      <w:lang w:val="en-US" w:eastAsia="zh-CN" w:bidi="ar-SA"/>
    </w:rPr>
  </w:style>
  <w:style w:type="paragraph" w:customStyle="1" w:styleId="355">
    <w:name w:val="xl154"/>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56">
    <w:name w:val="表格"/>
    <w:basedOn w:val="1"/>
    <w:autoRedefine/>
    <w:qFormat/>
    <w:uiPriority w:val="0"/>
    <w:pPr>
      <w:widowControl w:val="0"/>
      <w:jc w:val="both"/>
    </w:pPr>
    <w:rPr>
      <w:kern w:val="2"/>
      <w:szCs w:val="21"/>
    </w:rPr>
  </w:style>
  <w:style w:type="paragraph" w:customStyle="1" w:styleId="357">
    <w:name w:val="font14"/>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358">
    <w:name w:val="标题11"/>
    <w:basedOn w:val="1"/>
    <w:autoRedefine/>
    <w:qFormat/>
    <w:uiPriority w:val="0"/>
    <w:pPr>
      <w:spacing w:line="480" w:lineRule="exact"/>
      <w:jc w:val="center"/>
    </w:pPr>
    <w:rPr>
      <w:rFonts w:ascii="宋体" w:hAnsi="宋体"/>
      <w:b/>
      <w:kern w:val="28"/>
      <w:sz w:val="36"/>
      <w:szCs w:val="36"/>
    </w:rPr>
  </w:style>
  <w:style w:type="paragraph" w:customStyle="1" w:styleId="359">
    <w:name w:val="xl168"/>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360">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361">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62">
    <w:name w:val="xl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4"/>
      <w:szCs w:val="24"/>
    </w:rPr>
  </w:style>
  <w:style w:type="paragraph" w:customStyle="1" w:styleId="363">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64">
    <w:name w:val="xl155"/>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0"/>
    </w:rPr>
  </w:style>
  <w:style w:type="paragraph" w:customStyle="1" w:styleId="365">
    <w:name w:val="xl1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66">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67">
    <w:name w:val="font6"/>
    <w:basedOn w:val="1"/>
    <w:autoRedefine/>
    <w:qFormat/>
    <w:uiPriority w:val="0"/>
    <w:pPr>
      <w:spacing w:before="100" w:beforeAutospacing="1" w:after="100" w:afterAutospacing="1"/>
    </w:pPr>
    <w:rPr>
      <w:rFonts w:hint="eastAsia" w:ascii="宋体" w:hAnsi="宋体"/>
      <w:sz w:val="18"/>
      <w:szCs w:val="18"/>
    </w:rPr>
  </w:style>
  <w:style w:type="paragraph" w:customStyle="1" w:styleId="368">
    <w:name w:val="xl14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69">
    <w:name w:val="xl8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customStyle="1" w:styleId="370">
    <w:name w:val="font7"/>
    <w:basedOn w:val="1"/>
    <w:autoRedefine/>
    <w:qFormat/>
    <w:uiPriority w:val="0"/>
    <w:pPr>
      <w:spacing w:before="100" w:beforeAutospacing="1" w:after="100" w:afterAutospacing="1"/>
    </w:pPr>
    <w:rPr>
      <w:rFonts w:hint="eastAsia" w:ascii="仿宋_GB2312" w:hAnsi="宋体" w:eastAsia="仿宋_GB2312"/>
      <w:sz w:val="18"/>
      <w:szCs w:val="18"/>
    </w:rPr>
  </w:style>
  <w:style w:type="paragraph" w:customStyle="1" w:styleId="371">
    <w:name w:val="xl156"/>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372">
    <w:name w:val="font24"/>
    <w:basedOn w:val="1"/>
    <w:autoRedefine/>
    <w:qFormat/>
    <w:uiPriority w:val="0"/>
    <w:pPr>
      <w:spacing w:before="100" w:beforeAutospacing="1" w:after="100" w:afterAutospacing="1"/>
    </w:pPr>
    <w:rPr>
      <w:rFonts w:ascii="仿宋_GB2312" w:hAnsi="宋体" w:eastAsia="仿宋_GB2312" w:cs="宋体"/>
      <w:color w:val="0000FF"/>
      <w:sz w:val="24"/>
      <w:szCs w:val="24"/>
    </w:rPr>
  </w:style>
  <w:style w:type="paragraph" w:customStyle="1" w:styleId="373">
    <w:name w:val="font5"/>
    <w:basedOn w:val="1"/>
    <w:autoRedefine/>
    <w:qFormat/>
    <w:uiPriority w:val="0"/>
    <w:pPr>
      <w:spacing w:before="100" w:beforeAutospacing="1" w:after="100" w:afterAutospacing="1"/>
    </w:pPr>
    <w:rPr>
      <w:rFonts w:hint="eastAsia" w:ascii="宋体" w:hAnsi="宋体"/>
      <w:sz w:val="24"/>
      <w:szCs w:val="24"/>
    </w:rPr>
  </w:style>
  <w:style w:type="paragraph" w:customStyle="1" w:styleId="374">
    <w:name w:val="font19"/>
    <w:basedOn w:val="1"/>
    <w:autoRedefine/>
    <w:qFormat/>
    <w:uiPriority w:val="0"/>
    <w:pPr>
      <w:spacing w:before="100" w:beforeAutospacing="1" w:after="100" w:afterAutospacing="1"/>
    </w:pPr>
    <w:rPr>
      <w:rFonts w:ascii="宋体" w:hAnsi="宋体" w:cs="宋体"/>
      <w:sz w:val="18"/>
      <w:szCs w:val="18"/>
    </w:rPr>
  </w:style>
  <w:style w:type="paragraph" w:customStyle="1" w:styleId="375">
    <w:name w:val="xl8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b/>
      <w:bCs/>
      <w:sz w:val="24"/>
      <w:szCs w:val="24"/>
    </w:rPr>
  </w:style>
  <w:style w:type="paragraph" w:customStyle="1" w:styleId="376">
    <w:name w:val="xl153"/>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77">
    <w:name w:val="xl14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8">
    <w:name w:val="正文 New New New New New New New New New New New New New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79">
    <w:name w:val="xl148"/>
    <w:basedOn w:val="1"/>
    <w:autoRedefine/>
    <w:qFormat/>
    <w:uiPriority w:val="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380">
    <w:name w:val="xl15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1">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 w:val="24"/>
      <w:szCs w:val="24"/>
    </w:rPr>
  </w:style>
  <w:style w:type="paragraph" w:customStyle="1" w:styleId="382">
    <w:name w:val="Char1 Char Char Char Char Char Char11"/>
    <w:basedOn w:val="1"/>
    <w:autoRedefine/>
    <w:qFormat/>
    <w:uiPriority w:val="0"/>
    <w:pPr>
      <w:spacing w:after="160" w:line="240" w:lineRule="exact"/>
    </w:pPr>
    <w:rPr>
      <w:rFonts w:ascii="Verdana" w:hAnsi="Verdana"/>
      <w:sz w:val="20"/>
      <w:lang w:eastAsia="en-US"/>
    </w:rPr>
  </w:style>
  <w:style w:type="paragraph" w:customStyle="1" w:styleId="383">
    <w:name w:val="xl42"/>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84">
    <w:name w:val="xl85"/>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sz w:val="24"/>
      <w:szCs w:val="24"/>
    </w:rPr>
  </w:style>
  <w:style w:type="paragraph" w:customStyle="1" w:styleId="385">
    <w:name w:val="xl14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386">
    <w:name w:val="font8"/>
    <w:basedOn w:val="1"/>
    <w:autoRedefine/>
    <w:qFormat/>
    <w:uiPriority w:val="0"/>
    <w:pPr>
      <w:spacing w:before="100" w:beforeAutospacing="1" w:after="100" w:afterAutospacing="1"/>
    </w:pPr>
    <w:rPr>
      <w:rFonts w:ascii="Verdana" w:hAnsi="Verdana"/>
      <w:sz w:val="24"/>
      <w:szCs w:val="24"/>
    </w:rPr>
  </w:style>
  <w:style w:type="paragraph" w:customStyle="1" w:styleId="387">
    <w:name w:val="xl10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388">
    <w:name w:val="xl120"/>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89">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18"/>
      <w:szCs w:val="18"/>
    </w:rPr>
  </w:style>
  <w:style w:type="paragraph" w:customStyle="1" w:styleId="390">
    <w:name w:val="xl1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391">
    <w:name w:val="2册标题2"/>
    <w:basedOn w:val="1"/>
    <w:next w:val="1"/>
    <w:autoRedefine/>
    <w:qFormat/>
    <w:uiPriority w:val="0"/>
    <w:pPr>
      <w:widowControl w:val="0"/>
      <w:spacing w:beforeLines="50" w:afterLines="50"/>
      <w:jc w:val="both"/>
      <w:outlineLvl w:val="1"/>
    </w:pPr>
    <w:rPr>
      <w:rFonts w:ascii="Arial" w:hAnsi="Arial" w:eastAsia="黑体"/>
      <w:kern w:val="2"/>
      <w:sz w:val="30"/>
      <w:szCs w:val="30"/>
    </w:rPr>
  </w:style>
  <w:style w:type="paragraph" w:customStyle="1" w:styleId="392">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4"/>
      <w:szCs w:val="24"/>
    </w:rPr>
  </w:style>
  <w:style w:type="paragraph" w:customStyle="1" w:styleId="393">
    <w:name w:val="xl13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394">
    <w:name w:val="xl84"/>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top"/>
    </w:pPr>
    <w:rPr>
      <w:sz w:val="24"/>
      <w:szCs w:val="24"/>
    </w:rPr>
  </w:style>
  <w:style w:type="paragraph" w:customStyle="1" w:styleId="395">
    <w:name w:val="Char Char Char Char1"/>
    <w:basedOn w:val="1"/>
    <w:autoRedefine/>
    <w:qFormat/>
    <w:uiPriority w:val="0"/>
    <w:pPr>
      <w:spacing w:after="160" w:line="240" w:lineRule="exact"/>
    </w:pPr>
    <w:rPr>
      <w:rFonts w:ascii="Verdana" w:hAnsi="Verdana"/>
      <w:sz w:val="20"/>
      <w:lang w:eastAsia="en-US"/>
    </w:rPr>
  </w:style>
  <w:style w:type="paragraph" w:customStyle="1" w:styleId="396">
    <w:name w:val="xl13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397">
    <w:name w:val="xl124"/>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98">
    <w:name w:val="xl14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99">
    <w:name w:val="font15"/>
    <w:basedOn w:val="1"/>
    <w:autoRedefine/>
    <w:qFormat/>
    <w:uiPriority w:val="0"/>
    <w:pPr>
      <w:spacing w:before="100" w:beforeAutospacing="1" w:after="100" w:afterAutospacing="1"/>
    </w:pPr>
    <w:rPr>
      <w:rFonts w:ascii="宋体" w:hAnsi="宋体" w:cs="宋体"/>
      <w:sz w:val="18"/>
      <w:szCs w:val="18"/>
    </w:rPr>
  </w:style>
  <w:style w:type="paragraph" w:customStyle="1" w:styleId="400">
    <w:name w:val="Char2"/>
    <w:basedOn w:val="1"/>
    <w:autoRedefine/>
    <w:qFormat/>
    <w:uiPriority w:val="0"/>
    <w:pPr>
      <w:spacing w:after="160" w:line="240" w:lineRule="exact"/>
    </w:pPr>
    <w:rPr>
      <w:rFonts w:ascii="Verdana" w:hAnsi="Verdana"/>
      <w:sz w:val="20"/>
      <w:lang w:eastAsia="en-US"/>
    </w:rPr>
  </w:style>
  <w:style w:type="paragraph" w:customStyle="1" w:styleId="401">
    <w:name w:val="xl150"/>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402">
    <w:name w:val="xl11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403">
    <w:name w:val="TOC 标题1"/>
    <w:basedOn w:val="2"/>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04">
    <w:name w:val="xl125"/>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sz w:val="24"/>
      <w:szCs w:val="24"/>
    </w:rPr>
  </w:style>
  <w:style w:type="paragraph" w:customStyle="1" w:styleId="405">
    <w:name w:val="2册标题3"/>
    <w:basedOn w:val="1"/>
    <w:next w:val="1"/>
    <w:autoRedefine/>
    <w:qFormat/>
    <w:uiPriority w:val="0"/>
    <w:pPr>
      <w:widowControl w:val="0"/>
      <w:spacing w:beforeLines="50" w:afterLines="50"/>
      <w:ind w:left="100" w:leftChars="100"/>
      <w:jc w:val="both"/>
      <w:outlineLvl w:val="2"/>
    </w:pPr>
    <w:rPr>
      <w:rFonts w:ascii="Arial" w:hAnsi="Arial" w:eastAsia="黑体"/>
      <w:kern w:val="2"/>
      <w:sz w:val="28"/>
      <w:szCs w:val="28"/>
    </w:rPr>
  </w:style>
  <w:style w:type="paragraph" w:customStyle="1" w:styleId="406">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407">
    <w:name w:val="xl4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408">
    <w:name w:val="xl162"/>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09">
    <w:name w:val="xl76"/>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pPr>
    <w:rPr>
      <w:b/>
      <w:bCs/>
      <w:sz w:val="24"/>
      <w:szCs w:val="24"/>
    </w:rPr>
  </w:style>
  <w:style w:type="paragraph" w:customStyle="1" w:styleId="410">
    <w:name w:val="xl149"/>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411">
    <w:name w:val="列项——（一级）"/>
    <w:autoRedefine/>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character" w:customStyle="1" w:styleId="412">
    <w:name w:val="font41"/>
    <w:basedOn w:val="48"/>
    <w:autoRedefine/>
    <w:qFormat/>
    <w:uiPriority w:val="0"/>
    <w:rPr>
      <w:rFonts w:hint="eastAsia" w:ascii="宋体" w:hAnsi="宋体" w:eastAsia="宋体" w:cs="宋体"/>
      <w:color w:val="000000"/>
      <w:sz w:val="20"/>
      <w:szCs w:val="20"/>
      <w:u w:val="none"/>
    </w:rPr>
  </w:style>
  <w:style w:type="paragraph" w:customStyle="1" w:styleId="413">
    <w:name w:val="TOC 标题2"/>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414">
    <w:name w:val="xl1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415">
    <w:name w:val="xl170"/>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416">
    <w:name w:val="xl171"/>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0"/>
    </w:rPr>
  </w:style>
  <w:style w:type="paragraph" w:customStyle="1" w:styleId="417">
    <w:name w:val="xl172"/>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0"/>
    </w:rPr>
  </w:style>
  <w:style w:type="paragraph" w:customStyle="1" w:styleId="418">
    <w:name w:val="xl173"/>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19">
    <w:name w:val="xl174"/>
    <w:basedOn w:val="1"/>
    <w:autoRedefine/>
    <w:qFormat/>
    <w:uiPriority w:val="0"/>
    <w:pPr>
      <w:pBdr>
        <w:top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0">
    <w:name w:val="xl175"/>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421">
    <w:name w:val="Table Paragraph"/>
    <w:basedOn w:val="1"/>
    <w:autoRedefine/>
    <w:qFormat/>
    <w:uiPriority w:val="1"/>
    <w:pPr>
      <w:widowControl w:val="0"/>
      <w:autoSpaceDE w:val="0"/>
      <w:autoSpaceDN w:val="0"/>
    </w:pPr>
    <w:rPr>
      <w:rFonts w:ascii="宋体" w:hAnsi="宋体" w:cs="宋体"/>
      <w:sz w:val="22"/>
      <w:szCs w:val="22"/>
      <w:u w:color="000000"/>
      <w:lang w:val="zh-CN" w:bidi="zh-CN"/>
    </w:rPr>
  </w:style>
  <w:style w:type="character" w:customStyle="1" w:styleId="422">
    <w:name w:val="font222"/>
    <w:basedOn w:val="48"/>
    <w:autoRedefine/>
    <w:qFormat/>
    <w:uiPriority w:val="0"/>
    <w:rPr>
      <w:rFonts w:hint="eastAsia" w:ascii="宋体" w:hAnsi="宋体" w:eastAsia="宋体" w:cs="宋体"/>
      <w:color w:val="333333"/>
      <w:sz w:val="20"/>
      <w:szCs w:val="20"/>
      <w:u w:val="none"/>
    </w:rPr>
  </w:style>
  <w:style w:type="character" w:customStyle="1" w:styleId="423">
    <w:name w:val="font51"/>
    <w:basedOn w:val="48"/>
    <w:autoRedefine/>
    <w:qFormat/>
    <w:uiPriority w:val="0"/>
    <w:rPr>
      <w:rFonts w:hint="eastAsia" w:ascii="宋体" w:hAnsi="宋体" w:eastAsia="宋体" w:cs="宋体"/>
      <w:color w:val="000000"/>
      <w:sz w:val="20"/>
      <w:szCs w:val="20"/>
      <w:u w:val="none"/>
    </w:rPr>
  </w:style>
  <w:style w:type="paragraph" w:customStyle="1" w:styleId="424">
    <w:name w:val="样式 首行缩进:  2 字符"/>
    <w:basedOn w:val="1"/>
    <w:autoRedefine/>
    <w:qFormat/>
    <w:uiPriority w:val="0"/>
    <w:pPr>
      <w:widowControl w:val="0"/>
      <w:ind w:firstLine="420" w:firstLineChars="200"/>
      <w:jc w:val="both"/>
    </w:pPr>
    <w:rPr>
      <w:rFonts w:cs="宋体"/>
      <w:b/>
      <w:kern w:val="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74C482-AAA2-4AC2-8010-9D0C59322DD0}">
  <ds:schemaRefs/>
</ds:datastoreItem>
</file>

<file path=docProps/app.xml><?xml version="1.0" encoding="utf-8"?>
<Properties xmlns="http://schemas.openxmlformats.org/officeDocument/2006/extended-properties" xmlns:vt="http://schemas.openxmlformats.org/officeDocument/2006/docPropsVTypes">
  <Template>Normal.dotm</Template>
  <Company>ITianKong.Com</Company>
  <Pages>48</Pages>
  <Words>17639</Words>
  <Characters>5191</Characters>
  <Lines>43</Lines>
  <Paragraphs>45</Paragraphs>
  <TotalTime>2</TotalTime>
  <ScaleCrop>false</ScaleCrop>
  <LinksUpToDate>false</LinksUpToDate>
  <CharactersWithSpaces>22785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2024-04-08T03:32:00Z</dcterms:created>
  <dc:creator>Windows 用户</dc:creator>
  <cp:lastModifiedBy>小一哥</cp:lastModifiedBy>
  <cp:lastPrinted>2024-01-08T09:02:00Z</cp:lastPrinted>
  <dcterms:modified xsi:type="dcterms:W3CDTF">2024-04-17T14:23:51Z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4CE66F626A084B0EAF608C281F47D791</vt:lpwstr>
  </property>
</Properties>
</file>